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jc w:val="center"/>
        <w:rPr>
          <w:rFonts w:eastAsia="Arial" w:cs="Arial"/>
          <w:b/>
          <w:sz w:val="84"/>
          <w:highlight w:val="none"/>
        </w:rPr>
      </w:pPr>
      <w:r>
        <w:rPr>
          <w:rFonts w:eastAsia="Arial" w:cs="Arial"/>
          <w:b/>
          <w:sz w:val="84"/>
          <w:highlight w:val="none"/>
        </w:rPr>
      </w:r>
      <w:r>
        <w:rPr>
          <w:highlight w:val="none"/>
        </w:rPr>
      </w:r>
      <w:r>
        <w:rPr>
          <w:highlight w:val="none"/>
        </w:rPr>
      </w:r>
    </w:p>
    <w:p>
      <w:pPr>
        <w:pStyle w:val="1014"/>
        <w:ind w:firstLine="0"/>
        <w:jc w:val="center"/>
        <w:rPr>
          <w:rFonts w:ascii="宋体" w:hAnsi="宋体" w:cs="宋体"/>
          <w:b/>
          <w:sz w:val="84"/>
          <w:highlight w:val="none"/>
        </w:rPr>
      </w:pPr>
      <w:r>
        <w:rPr>
          <w:rFonts w:hint="eastAsia" w:ascii="宋体" w:hAnsi="宋体" w:cs="宋体"/>
          <w:b/>
          <w:sz w:val="84"/>
          <w:highlight w:val="none"/>
        </w:rPr>
        <w:t xml:space="preserve">招 标 文 件</w:t>
      </w:r>
      <w:r>
        <w:rPr>
          <w:highlight w:val="none"/>
        </w:rPr>
      </w:r>
      <w:r>
        <w:rPr>
          <w:highlight w:val="none"/>
        </w:rPr>
      </w:r>
    </w:p>
    <w:p>
      <w:pPr>
        <w:pStyle w:val="1014"/>
        <w:ind w:firstLine="0"/>
        <w:jc w:val="center"/>
        <w:rPr>
          <w:rFonts w:ascii="宋体" w:hAnsi="宋体" w:cs="宋体"/>
          <w:b/>
          <w:sz w:val="32"/>
          <w:highlight w:val="none"/>
        </w:rPr>
      </w:pPr>
      <w:r>
        <w:rPr>
          <w:rFonts w:ascii="宋体" w:hAnsi="宋体" w:cs="宋体"/>
          <w:b/>
          <w:sz w:val="32"/>
          <w:highlight w:val="none"/>
        </w:rPr>
      </w:r>
      <w:r>
        <w:rPr>
          <w:highlight w:val="none"/>
        </w:rPr>
      </w:r>
      <w:r>
        <w:rPr>
          <w:highlight w:val="none"/>
        </w:rPr>
      </w:r>
    </w:p>
    <w:p>
      <w:pPr>
        <w:pStyle w:val="1014"/>
        <w:ind w:firstLine="0"/>
        <w:jc w:val="center"/>
        <w:rPr>
          <w:rFonts w:ascii="宋体" w:hAnsi="宋体" w:cs="宋体"/>
          <w:b/>
          <w:sz w:val="32"/>
          <w:highlight w:val="none"/>
        </w:rPr>
      </w:pPr>
      <w:r>
        <w:rPr>
          <w:highlight w:val="none"/>
        </w:rPr>
        <mc:AlternateContent>
          <mc:Choice Requires="wpg">
            <w:drawing>
              <wp:inline xmlns:wp="http://schemas.openxmlformats.org/drawingml/2006/wordprocessingDrawing" distT="0" distB="0" distL="0" distR="0">
                <wp:extent cx="2089150" cy="1813560"/>
                <wp:effectExtent l="0" t="0" r="6350" b="15240"/>
                <wp:docPr id="2"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9"/>
                        <a:stretch/>
                      </pic:blipFill>
                      <pic:spPr bwMode="auto">
                        <a:xfrm>
                          <a:off x="0" y="0"/>
                          <a:ext cx="2117800" cy="1838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5pt;height:142.8pt;mso-wrap-distance-left:0.0pt;mso-wrap-distance-top:0.0pt;mso-wrap-distance-right:0.0pt;mso-wrap-distance-bottom:0.0pt;" stroked="f">
                <v:path textboxrect="0,0,0,0"/>
                <v:imagedata r:id="rId19" o:title=""/>
              </v:shape>
            </w:pict>
          </mc:Fallback>
        </mc:AlternateContent>
      </w:r>
      <w:r>
        <w:rPr>
          <w:highlight w:val="none"/>
        </w:rPr>
      </w:r>
      <w:r>
        <w:rPr>
          <w:highlight w:val="none"/>
        </w:rPr>
      </w:r>
    </w:p>
    <w:p>
      <w:pPr>
        <w:pStyle w:val="1014"/>
        <w:ind w:firstLine="0"/>
        <w:jc w:val="center"/>
        <w:rPr>
          <w:rFonts w:ascii="宋体" w:hAnsi="宋体" w:cs="宋体"/>
          <w:b/>
          <w:sz w:val="32"/>
          <w:highlight w:val="none"/>
        </w:rPr>
      </w:pPr>
      <w:r>
        <w:rPr>
          <w:rFonts w:ascii="宋体" w:hAnsi="宋体" w:cs="宋体"/>
          <w:b/>
          <w:sz w:val="32"/>
          <w:highlight w:val="none"/>
        </w:rPr>
      </w:r>
      <w:r>
        <w:rPr>
          <w:highlight w:val="none"/>
        </w:rPr>
      </w:r>
      <w:r>
        <w:rPr>
          <w:highlight w:val="none"/>
        </w:rPr>
      </w:r>
    </w:p>
    <w:p>
      <w:pPr>
        <w:pStyle w:val="1014"/>
        <w:ind w:firstLine="0"/>
        <w:rPr>
          <w:rFonts w:ascii="仿宋" w:hAnsi="仿宋" w:eastAsia="仿宋" w:cs="宋体"/>
          <w:b/>
          <w:sz w:val="32"/>
          <w:szCs w:val="32"/>
          <w:highlight w:val="none"/>
        </w:rPr>
      </w:pPr>
      <w:r>
        <w:rPr>
          <w:rFonts w:hint="eastAsia" w:ascii="仿宋" w:hAnsi="仿宋" w:eastAsia="仿宋" w:cs="宋体"/>
          <w:b/>
          <w:sz w:val="32"/>
          <w:szCs w:val="32"/>
          <w:highlight w:val="none"/>
        </w:rPr>
        <w:t xml:space="preserve">项目名称：高精度经颅磁刺激仪采购项目</w:t>
      </w:r>
      <w:r>
        <w:rPr>
          <w:highlight w:val="none"/>
        </w:rPr>
      </w:r>
      <w:r>
        <w:rPr>
          <w:highlight w:val="none"/>
        </w:rPr>
      </w:r>
    </w:p>
    <w:p>
      <w:pPr>
        <w:pStyle w:val="1014"/>
        <w:ind w:firstLine="0"/>
        <w:rPr>
          <w:rFonts w:ascii="仿宋" w:hAnsi="仿宋" w:eastAsia="仿宋" w:cs="宋体"/>
          <w:b/>
          <w:sz w:val="32"/>
          <w:szCs w:val="32"/>
          <w:highlight w:val="none"/>
        </w:rPr>
      </w:pPr>
      <w:r>
        <w:rPr>
          <w:rFonts w:hint="eastAsia" w:ascii="仿宋" w:hAnsi="仿宋" w:eastAsia="仿宋" w:cs="宋体"/>
          <w:b/>
          <w:sz w:val="32"/>
          <w:szCs w:val="32"/>
          <w:highlight w:val="none"/>
        </w:rPr>
        <w:t xml:space="preserve">项目编号：</w:t>
      </w:r>
      <w:r>
        <w:rPr>
          <w:rFonts w:hint="eastAsia" w:ascii="仿宋" w:hAnsi="仿宋" w:eastAsia="仿宋" w:cs="宋体"/>
          <w:b/>
          <w:sz w:val="32"/>
          <w:szCs w:val="32"/>
          <w:highlight w:val="none"/>
        </w:rPr>
        <w:t xml:space="preserve">JSZC-320600-SHGK-G2025-0159</w:t>
      </w:r>
      <w:r>
        <w:rPr>
          <w:rFonts w:hint="eastAsia" w:ascii="仿宋" w:hAnsi="仿宋" w:eastAsia="仿宋" w:cs="宋体"/>
          <w:b/>
          <w:sz w:val="32"/>
          <w:szCs w:val="32"/>
          <w:highlight w:val="none"/>
        </w:rPr>
        <w:tab/>
      </w:r>
      <w:r>
        <w:rPr>
          <w:highlight w:val="none"/>
        </w:rPr>
      </w:r>
      <w:r>
        <w:rPr>
          <w:highlight w:val="none"/>
        </w:rPr>
      </w:r>
    </w:p>
    <w:p>
      <w:pPr>
        <w:pStyle w:val="1014"/>
        <w:ind w:firstLine="0"/>
        <w:spacing w:before="0" w:after="0"/>
        <w:rPr>
          <w:rFonts w:ascii="仿宋" w:hAnsi="仿宋" w:eastAsia="仿宋" w:cs="宋体"/>
          <w:b/>
          <w:sz w:val="32"/>
          <w:szCs w:val="32"/>
          <w:highlight w:val="none"/>
        </w:rPr>
      </w:pPr>
      <w:r>
        <w:rPr>
          <w:rFonts w:hint="eastAsia" w:ascii="仿宋" w:hAnsi="仿宋" w:eastAsia="仿宋" w:cs="宋体"/>
          <w:b/>
          <w:sz w:val="32"/>
          <w:szCs w:val="32"/>
          <w:highlight w:val="none"/>
        </w:rPr>
        <w:t xml:space="preserve">采购人：南通市第二人民医院</w:t>
      </w:r>
      <w:r>
        <w:rPr>
          <w:highlight w:val="none"/>
        </w:rPr>
      </w:r>
      <w:r>
        <w:rPr>
          <w:highlight w:val="none"/>
        </w:rPr>
      </w:r>
    </w:p>
    <w:p>
      <w:pPr>
        <w:pStyle w:val="1014"/>
        <w:ind w:firstLine="0"/>
        <w:rPr>
          <w:rFonts w:ascii="仿宋" w:hAnsi="仿宋" w:eastAsia="仿宋" w:cs="宋体"/>
          <w:b/>
          <w:sz w:val="32"/>
          <w:szCs w:val="32"/>
          <w:highlight w:val="none"/>
        </w:rPr>
      </w:pPr>
      <w:r>
        <w:rPr>
          <w:rFonts w:hint="eastAsia" w:ascii="仿宋" w:hAnsi="仿宋" w:eastAsia="仿宋" w:cs="宋体"/>
          <w:b/>
          <w:sz w:val="32"/>
          <w:szCs w:val="32"/>
          <w:highlight w:val="none"/>
        </w:rPr>
        <w:t xml:space="preserve">采购代理机构：江苏苏豪创新科技集团高科有限公司</w:t>
      </w:r>
      <w:r>
        <w:rPr>
          <w:highlight w:val="none"/>
        </w:rPr>
      </w:r>
      <w:r>
        <w:rPr>
          <w:highlight w:val="none"/>
        </w:rPr>
      </w:r>
    </w:p>
    <w:p>
      <w:pPr>
        <w:pStyle w:val="1014"/>
        <w:ind w:firstLine="0"/>
        <w:rPr>
          <w:rFonts w:ascii="仿宋" w:hAnsi="仿宋" w:eastAsia="仿宋" w:cs="宋体"/>
          <w:b/>
          <w:sz w:val="32"/>
          <w:szCs w:val="32"/>
          <w:highlight w:val="none"/>
        </w:rPr>
      </w:pPr>
      <w:r>
        <w:rPr>
          <w:rFonts w:hint="eastAsia" w:ascii="仿宋" w:hAnsi="仿宋" w:eastAsia="仿宋" w:cs="宋体"/>
          <w:b/>
          <w:sz w:val="32"/>
          <w:szCs w:val="32"/>
          <w:highlight w:val="none"/>
        </w:rPr>
        <w:t xml:space="preserve">日期：</w:t>
      </w:r>
      <w:r>
        <w:rPr>
          <w:rFonts w:ascii="仿宋" w:hAnsi="仿宋" w:eastAsia="仿宋" w:cs="宋体"/>
          <w:b/>
          <w:sz w:val="32"/>
          <w:szCs w:val="32"/>
          <w:highlight w:val="none"/>
        </w:rPr>
        <w:t xml:space="preserve">202</w:t>
      </w:r>
      <w:r>
        <w:rPr>
          <w:rFonts w:hint="eastAsia" w:ascii="仿宋" w:hAnsi="仿宋" w:eastAsia="仿宋" w:cs="宋体"/>
          <w:b/>
          <w:sz w:val="32"/>
          <w:szCs w:val="32"/>
          <w:highlight w:val="none"/>
        </w:rPr>
        <w:t xml:space="preserve">5</w:t>
      </w:r>
      <w:r>
        <w:rPr>
          <w:rFonts w:ascii="仿宋" w:hAnsi="仿宋" w:eastAsia="仿宋" w:cs="宋体"/>
          <w:b/>
          <w:sz w:val="32"/>
          <w:szCs w:val="32"/>
          <w:highlight w:val="none"/>
        </w:rPr>
        <w:t xml:space="preserve">年</w:t>
      </w:r>
      <w:r>
        <w:rPr>
          <w:rFonts w:ascii="仿宋" w:hAnsi="仿宋" w:eastAsia="仿宋" w:cs="宋体"/>
          <w:b/>
          <w:sz w:val="32"/>
          <w:szCs w:val="32"/>
          <w:highlight w:val="none"/>
        </w:rPr>
        <w:t xml:space="preserve">11</w:t>
      </w:r>
      <w:r>
        <w:rPr>
          <w:rFonts w:hint="eastAsia" w:ascii="仿宋" w:hAnsi="仿宋" w:eastAsia="仿宋" w:cs="宋体"/>
          <w:b/>
          <w:sz w:val="32"/>
          <w:szCs w:val="32"/>
          <w:highlight w:val="none"/>
        </w:rPr>
        <w:t xml:space="preserve">月</w:t>
      </w:r>
      <w:r>
        <w:rPr>
          <w:highlight w:val="none"/>
        </w:rPr>
      </w:r>
      <w:r>
        <w:rPr>
          <w:highlight w:val="none"/>
        </w:rPr>
      </w:r>
    </w:p>
    <w:p>
      <w:pPr>
        <w:pStyle w:val="1015"/>
        <w:jc w:val="center"/>
        <w:rPr>
          <w:rFonts w:ascii="宋体" w:hAnsi="宋体" w:cs="宋体"/>
          <w:b/>
          <w:bCs w:val="0"/>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auto"/>
          <w:sz w:val="36"/>
          <w:szCs w:val="36"/>
          <w:highlight w:val="none"/>
          <w:lang w:val="zh-CN"/>
        </w:rPr>
      </w:r>
      <w:r>
        <w:rPr>
          <w:highlight w:val="none"/>
        </w:rPr>
      </w:r>
      <w:r>
        <w:rPr>
          <w:highlight w:val="none"/>
        </w:rPr>
      </w:r>
    </w:p>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rPr>
          <w:highlight w:val="none"/>
        </w:rPr>
      </w:r>
    </w:p>
    <w:p>
      <w:pPr>
        <w:pStyle w:val="800"/>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目</w:t>
      </w:r>
      <w:r>
        <w:rPr>
          <w:rFonts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highlight w:val="none"/>
        </w:rPr>
        <w:t xml:space="preserve">录</w:t>
      </w:r>
      <w:r>
        <w:rPr>
          <w:highlight w:val="none"/>
        </w:rPr>
      </w:r>
      <w:r>
        <w:rPr>
          <w:highlight w:val="none"/>
        </w:rPr>
      </w:r>
    </w:p>
    <w:p>
      <w:pPr>
        <w:jc w:val="both"/>
        <w:spacing w:line="113" w:lineRule="atLeast"/>
        <w:rPr>
          <w:rFonts w:asciiTheme="minorEastAsia" w:hAnsi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highlight w:val="none"/>
        </w:rPr>
        <w:t xml:space="preserve"> </w:t>
      </w:r>
      <w:r>
        <w:rPr>
          <w:highlight w:val="none"/>
        </w:rPr>
      </w:r>
      <w:r>
        <w:rPr>
          <w:highlight w:val="none"/>
        </w:rPr>
      </w:r>
    </w:p>
    <w:p>
      <w:pPr>
        <w:numPr>
          <w:ilvl w:val="0"/>
          <w:numId w:val="1"/>
        </w:numPr>
        <w:jc w:val="both"/>
        <w:spacing w:before="240" w:line="113" w:lineRule="atLeast"/>
        <w:tabs>
          <w:tab w:val="left" w:pos="1440" w:leader="none"/>
        </w:tabs>
        <w:rPr>
          <w:rFonts w:ascii="仿宋" w:hAnsi="仿宋" w:eastAsia="仿宋"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highlight w:val="none"/>
        </w:rPr>
        <w:t xml:space="preserve">投标邀请</w:t>
      </w:r>
      <w:r>
        <w:rPr>
          <w:highlight w:val="none"/>
        </w:rPr>
      </w:r>
      <w:r>
        <w:rPr>
          <w:highlight w:val="none"/>
        </w:rPr>
      </w:r>
    </w:p>
    <w:p>
      <w:pPr>
        <w:numPr>
          <w:ilvl w:val="0"/>
          <w:numId w:val="1"/>
        </w:numPr>
        <w:jc w:val="both"/>
        <w:spacing w:before="240" w:line="113" w:lineRule="atLeast"/>
        <w:tabs>
          <w:tab w:val="left" w:pos="1440" w:leader="none"/>
        </w:tabs>
        <w:rPr>
          <w:rFonts w:ascii="仿宋" w:hAnsi="仿宋" w:eastAsia="仿宋"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highlight w:val="none"/>
        </w:rPr>
        <w:t xml:space="preserve">投标人须知</w:t>
      </w:r>
      <w:r>
        <w:rPr>
          <w:highlight w:val="none"/>
        </w:rPr>
      </w:r>
      <w:r>
        <w:rPr>
          <w:highlight w:val="none"/>
        </w:rPr>
      </w:r>
    </w:p>
    <w:p>
      <w:pPr>
        <w:numPr>
          <w:ilvl w:val="0"/>
          <w:numId w:val="1"/>
        </w:numPr>
        <w:jc w:val="both"/>
        <w:spacing w:before="240" w:line="113" w:lineRule="atLeast"/>
        <w:tabs>
          <w:tab w:val="left" w:pos="1440" w:leader="none"/>
        </w:tabs>
        <w:rPr>
          <w:rFonts w:ascii="仿宋" w:hAnsi="仿宋" w:eastAsia="仿宋"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highlight w:val="none"/>
        </w:rPr>
        <w:t xml:space="preserve">合同文本</w:t>
      </w:r>
      <w:r>
        <w:rPr>
          <w:highlight w:val="none"/>
        </w:rPr>
      </w:r>
      <w:r>
        <w:rPr>
          <w:highlight w:val="none"/>
        </w:rPr>
      </w:r>
    </w:p>
    <w:p>
      <w:pPr>
        <w:numPr>
          <w:ilvl w:val="0"/>
          <w:numId w:val="1"/>
        </w:numPr>
        <w:jc w:val="both"/>
        <w:spacing w:before="240" w:line="113" w:lineRule="atLeast"/>
        <w:tabs>
          <w:tab w:val="left" w:pos="1440" w:leader="none"/>
        </w:tabs>
        <w:rPr>
          <w:rFonts w:ascii="仿宋" w:hAnsi="仿宋" w:eastAsia="仿宋"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highlight w:val="none"/>
        </w:rPr>
        <w:t xml:space="preserve">采购需求</w:t>
      </w:r>
      <w:r>
        <w:rPr>
          <w:highlight w:val="none"/>
        </w:rPr>
      </w:r>
      <w:r>
        <w:rPr>
          <w:highlight w:val="none"/>
        </w:rPr>
      </w:r>
    </w:p>
    <w:p>
      <w:pPr>
        <w:numPr>
          <w:ilvl w:val="0"/>
          <w:numId w:val="1"/>
        </w:numPr>
        <w:jc w:val="both"/>
        <w:spacing w:before="240" w:line="113" w:lineRule="atLeast"/>
        <w:tabs>
          <w:tab w:val="left" w:pos="1440" w:leader="none"/>
        </w:tabs>
        <w:rPr>
          <w:rFonts w:ascii="仿宋" w:hAnsi="仿宋" w:eastAsia="仿宋"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highlight w:val="none"/>
        </w:rPr>
        <w:t xml:space="preserve">评标方法与评标标准</w:t>
      </w:r>
      <w:r>
        <w:rPr>
          <w:highlight w:val="none"/>
        </w:rPr>
      </w:r>
      <w:r>
        <w:rPr>
          <w:highlight w:val="none"/>
        </w:rPr>
      </w:r>
    </w:p>
    <w:p>
      <w:pPr>
        <w:numPr>
          <w:ilvl w:val="0"/>
          <w:numId w:val="1"/>
        </w:numPr>
        <w:jc w:val="both"/>
        <w:spacing w:before="240" w:line="113" w:lineRule="atLeast"/>
        <w:tabs>
          <w:tab w:val="left" w:pos="1440" w:leader="none"/>
        </w:tabs>
        <w:rPr>
          <w:rFonts w:ascii="仿宋" w:hAnsi="仿宋" w:eastAsia="仿宋"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highlight w:val="none"/>
        </w:rPr>
        <w:t xml:space="preserve">投标文件格式</w:t>
      </w:r>
      <w:r>
        <w:rPr>
          <w:highlight w:val="none"/>
        </w:rPr>
      </w:r>
      <w:r>
        <w:rPr>
          <w:highlight w:val="none"/>
        </w:rPr>
      </w:r>
    </w:p>
    <w:p>
      <w:pPr>
        <w:rPr>
          <w:rFonts w:asciiTheme="minorEastAsia" w:hAnsiTheme="minorEastAsia" w:cstheme="minorEastAsia"/>
          <w:sz w:val="28"/>
          <w:szCs w:val="28"/>
          <w:highlight w:val="none"/>
        </w:rPr>
      </w:pPr>
      <w:r>
        <w:rPr>
          <w:rFonts w:asciiTheme="minorEastAsia" w:hAnsiTheme="minorEastAsia" w:cstheme="minorEastAsia"/>
          <w:sz w:val="28"/>
          <w:szCs w:val="28"/>
          <w:highlight w:val="none"/>
        </w:rPr>
        <w:br w:type="page" w:clear="all"/>
      </w:r>
      <w:r>
        <w:rPr>
          <w:highlight w:val="none"/>
        </w:rPr>
      </w:r>
      <w:r>
        <w:rPr>
          <w:highlight w:val="none"/>
        </w:rPr>
      </w:r>
    </w:p>
    <w:p>
      <w:pPr>
        <w:pStyle w:val="800"/>
        <w:jc w:val="center"/>
        <w:rPr>
          <w:rFonts w:ascii="宋体" w:hAnsi="宋体" w:eastAsia="宋体" w:cs="微软雅黑"/>
          <w:highlight w:val="none"/>
        </w:rPr>
      </w:pPr>
      <w:r>
        <w:rPr>
          <w:rFonts w:ascii="宋体" w:hAnsi="宋体" w:eastAsia="宋体" w:cs="微软雅黑"/>
          <w:highlight w:val="none"/>
        </w:rPr>
        <w:t xml:space="preserve">第一章 投标邀请</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受[南通市第二人民医院]的委托，</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就[</w:t>
      </w:r>
      <w:r>
        <w:rPr>
          <w:rFonts w:hint="eastAsia" w:ascii="仿宋" w:hAnsi="仿宋" w:eastAsia="仿宋" w:cs="仿宋"/>
          <w:sz w:val="28"/>
          <w:highlight w:val="none"/>
        </w:rPr>
        <w:t xml:space="preserve">高精度经颅磁刺激仪采购项目</w:t>
      </w:r>
      <w:r>
        <w:rPr>
          <w:rFonts w:ascii="仿宋" w:hAnsi="仿宋" w:eastAsia="仿宋" w:cs="仿宋"/>
          <w:sz w:val="28"/>
          <w:highlight w:val="none"/>
        </w:rPr>
        <w:t xml:space="preserve">]([</w:t>
      </w:r>
      <w:r>
        <w:rPr>
          <w:rFonts w:ascii="仿宋" w:hAnsi="仿宋" w:eastAsia="仿宋" w:cs="仿宋"/>
          <w:sz w:val="28"/>
          <w:highlight w:val="none"/>
        </w:rPr>
        <w:t xml:space="preserve">JSZC-320600-SHGK-G2025-0159</w:t>
      </w:r>
      <w:r>
        <w:rPr>
          <w:rFonts w:ascii="仿宋" w:hAnsi="仿宋" w:eastAsia="仿宋" w:cs="仿宋"/>
          <w:sz w:val="28"/>
          <w:highlight w:val="none"/>
        </w:rPr>
        <w:tab/>
      </w:r>
      <w:r>
        <w:rPr>
          <w:rFonts w:ascii="仿宋" w:hAnsi="仿宋" w:eastAsia="仿宋" w:cs="仿宋"/>
          <w:sz w:val="28"/>
          <w:highlight w:val="none"/>
        </w:rPr>
        <w:t xml:space="preserve">])项目进行公开招标</w:t>
      </w:r>
      <w:bookmarkStart w:id="0" w:name="_GoBack"/>
      <w:r>
        <w:rPr>
          <w:highlight w:val="none"/>
        </w:rPr>
      </w:r>
      <w:bookmarkEnd w:id="0"/>
      <w:r>
        <w:rPr>
          <w:rFonts w:ascii="仿宋" w:hAnsi="仿宋" w:eastAsia="仿宋" w:cs="仿宋"/>
          <w:sz w:val="28"/>
          <w:highlight w:val="none"/>
        </w:rPr>
        <w:t xml:space="preserve">采购，欢迎符合条件的供应商投标。</w:t>
      </w:r>
      <w:r>
        <w:rPr>
          <w:highlight w:val="none"/>
        </w:rPr>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项目概况</w:t>
      </w:r>
      <w:r>
        <w:rPr>
          <w:highlight w:val="none"/>
        </w:rPr>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南通市第二人民医院</w:t>
      </w:r>
      <w:r>
        <w:rPr>
          <w:rFonts w:hint="eastAsia" w:ascii="仿宋" w:hAnsi="仿宋" w:eastAsia="仿宋" w:cs="仿宋"/>
          <w:sz w:val="28"/>
          <w:highlight w:val="none"/>
        </w:rPr>
        <w:t xml:space="preserve">高精度经颅磁刺激仪采购项目</w:t>
      </w:r>
      <w:r>
        <w:rPr>
          <w:rFonts w:ascii="仿宋" w:hAnsi="仿宋" w:eastAsia="仿宋" w:cs="仿宋"/>
          <w:sz w:val="28"/>
          <w:highlight w:val="none"/>
        </w:rPr>
        <w:t xml:space="preserve">招标项目的潜在投标人可在</w:t>
      </w:r>
      <w:r>
        <w:rPr>
          <w:rFonts w:ascii="仿宋" w:hAnsi="仿宋" w:eastAsia="仿宋" w:cs="仿宋"/>
          <w:sz w:val="28"/>
          <w:highlight w:val="none"/>
          <w:u w:val="single"/>
        </w:rPr>
        <w:t xml:space="preserve">“江苏政府采购网”自行免费下载</w:t>
      </w:r>
      <w:r>
        <w:rPr>
          <w:rFonts w:ascii="仿宋" w:hAnsi="仿宋" w:eastAsia="仿宋" w:cs="仿宋"/>
          <w:sz w:val="28"/>
          <w:highlight w:val="none"/>
        </w:rPr>
        <w:t xml:space="preserve">招标文件，并于</w:t>
      </w:r>
      <w:r>
        <w:rPr>
          <w:rFonts w:ascii="仿宋" w:hAnsi="仿宋" w:eastAsia="仿宋" w:cs="仿宋"/>
          <w:sz w:val="28"/>
          <w:highlight w:val="none"/>
          <w:u w:val="single"/>
        </w:rPr>
        <w:t xml:space="preserve">2025年</w:t>
      </w:r>
      <w:r>
        <w:rPr>
          <w:rFonts w:ascii="仿宋" w:hAnsi="仿宋" w:eastAsia="仿宋" w:cs="仿宋"/>
          <w:sz w:val="28"/>
          <w:highlight w:val="none"/>
          <w:u w:val="single"/>
        </w:rPr>
        <w:t xml:space="preserve">12</w:t>
      </w:r>
      <w:r>
        <w:rPr>
          <w:rFonts w:ascii="仿宋" w:hAnsi="仿宋" w:eastAsia="仿宋" w:cs="仿宋"/>
          <w:sz w:val="28"/>
          <w:highlight w:val="none"/>
          <w:u w:val="single"/>
        </w:rPr>
        <w:t xml:space="preserve">月</w:t>
      </w:r>
      <w:r>
        <w:rPr>
          <w:rFonts w:ascii="仿宋" w:hAnsi="仿宋" w:eastAsia="仿宋" w:cs="仿宋"/>
          <w:sz w:val="28"/>
          <w:highlight w:val="none"/>
          <w:u w:val="single"/>
        </w:rPr>
        <w:t xml:space="preserve">4</w:t>
      </w:r>
      <w:r>
        <w:rPr>
          <w:rFonts w:ascii="仿宋" w:hAnsi="仿宋" w:eastAsia="仿宋" w:cs="仿宋"/>
          <w:sz w:val="28"/>
          <w:highlight w:val="none"/>
          <w:u w:val="single"/>
        </w:rPr>
        <w:t xml:space="preserve">日</w:t>
      </w:r>
      <w:r>
        <w:rPr>
          <w:rFonts w:ascii="仿宋" w:hAnsi="仿宋" w:eastAsia="仿宋" w:cs="仿宋"/>
          <w:sz w:val="28"/>
          <w:highlight w:val="none"/>
          <w:u w:val="single"/>
        </w:rPr>
        <w:t xml:space="preserve">9</w:t>
      </w:r>
      <w:r>
        <w:rPr>
          <w:rFonts w:ascii="仿宋" w:hAnsi="仿宋" w:eastAsia="仿宋" w:cs="仿宋"/>
          <w:sz w:val="28"/>
          <w:highlight w:val="none"/>
          <w:u w:val="single"/>
        </w:rPr>
        <w:t xml:space="preserve">时</w:t>
      </w:r>
      <w:r>
        <w:rPr>
          <w:rFonts w:ascii="仿宋" w:hAnsi="仿宋" w:eastAsia="仿宋" w:cs="仿宋"/>
          <w:sz w:val="28"/>
          <w:highlight w:val="none"/>
          <w:u w:val="single"/>
        </w:rPr>
        <w:t xml:space="preserve">30</w:t>
      </w:r>
      <w:r>
        <w:rPr>
          <w:rFonts w:ascii="仿宋" w:hAnsi="仿宋" w:eastAsia="仿宋" w:cs="仿宋"/>
          <w:sz w:val="28"/>
          <w:highlight w:val="none"/>
          <w:u w:val="single"/>
        </w:rPr>
        <w:t xml:space="preserve">分（北京时间）</w:t>
      </w:r>
      <w:r>
        <w:rPr>
          <w:rFonts w:ascii="仿宋" w:hAnsi="仿宋" w:eastAsia="仿宋" w:cs="仿宋"/>
          <w:sz w:val="28"/>
          <w:highlight w:val="none"/>
        </w:rPr>
        <w:t xml:space="preserve">前递交投标文件。</w:t>
      </w:r>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一、项目基本情况</w:t>
      </w:r>
      <w:r>
        <w:rPr>
          <w:highlight w:val="none"/>
        </w:rPr>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1.项目编号：</w:t>
      </w:r>
      <w:r>
        <w:rPr>
          <w:rFonts w:hint="eastAsia" w:ascii="仿宋" w:hAnsi="仿宋" w:eastAsia="仿宋" w:cs="仿宋"/>
          <w:sz w:val="28"/>
          <w:highlight w:val="none"/>
        </w:rPr>
        <w:t xml:space="preserve">JSZC-320600-SHGK-G2025-0159</w:t>
      </w:r>
      <w:r>
        <w:rPr>
          <w:rFonts w:hint="eastAsia" w:ascii="仿宋" w:hAnsi="仿宋" w:eastAsia="仿宋" w:cs="仿宋"/>
          <w:sz w:val="28"/>
          <w:highlight w:val="none"/>
        </w:rPr>
        <w:tab/>
      </w:r>
      <w:r>
        <w:rPr>
          <w:highlight w:val="none"/>
        </w:rPr>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2.项目名称：南通市第二人民医院</w:t>
      </w:r>
      <w:r>
        <w:rPr>
          <w:rFonts w:hint="eastAsia" w:ascii="仿宋" w:hAnsi="仿宋" w:eastAsia="仿宋" w:cs="仿宋"/>
          <w:sz w:val="28"/>
          <w:highlight w:val="none"/>
        </w:rPr>
        <w:t xml:space="preserve">高精度经颅磁刺激仪采购项目</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3.预算金额</w:t>
      </w:r>
      <w:r>
        <w:rPr>
          <w:rFonts w:hint="eastAsia" w:ascii="仿宋" w:hAnsi="仿宋" w:eastAsia="仿宋" w:cs="仿宋"/>
          <w:sz w:val="28"/>
          <w:highlight w:val="none"/>
        </w:rPr>
        <w:t xml:space="preserve">：人民币90万元</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4.最高限价：</w:t>
      </w:r>
      <w:r>
        <w:rPr>
          <w:rFonts w:hint="eastAsia" w:ascii="仿宋" w:hAnsi="仿宋" w:eastAsia="仿宋" w:cs="仿宋"/>
          <w:sz w:val="28"/>
          <w:highlight w:val="none"/>
        </w:rPr>
        <w:t xml:space="preserve">人民币90万元</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5</w:t>
      </w:r>
      <w:r>
        <w:rPr>
          <w:rFonts w:ascii="仿宋" w:hAnsi="仿宋" w:eastAsia="仿宋" w:cs="仿宋"/>
          <w:sz w:val="28"/>
          <w:highlight w:val="none"/>
        </w:rPr>
        <w:t xml:space="preserve">.采购需求：</w:t>
      </w:r>
      <w:r>
        <w:rPr>
          <w:highlight w:val="none"/>
        </w:rPr>
      </w:r>
      <w:r>
        <w:rPr>
          <w:highlight w:val="none"/>
        </w:rPr>
      </w:r>
    </w:p>
    <w:tbl>
      <w:tblPr>
        <w:tblStyle w:val="836"/>
        <w:tblW w:w="90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0"/>
        <w:gridCol w:w="3234"/>
        <w:gridCol w:w="758"/>
        <w:gridCol w:w="1793"/>
        <w:gridCol w:w="2217"/>
      </w:tblGrid>
      <w:tr>
        <w:trPr>
          <w:jc w:val="center"/>
          <w:trHeight w:val="1362"/>
        </w:trPr>
        <w:tc>
          <w:tcPr>
            <w:tcMar>
              <w:left w:w="108" w:type="dxa"/>
              <w:top w:w="0" w:type="dxa"/>
              <w:right w:w="108" w:type="dxa"/>
              <w:bottom w:w="0" w:type="dxa"/>
            </w:tcMar>
            <w:tcW w:w="104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包号</w:t>
            </w:r>
            <w:r>
              <w:rPr>
                <w:highlight w:val="none"/>
              </w:rPr>
            </w:r>
            <w:r>
              <w:rPr>
                <w:highlight w:val="none"/>
              </w:rPr>
            </w:r>
          </w:p>
        </w:tc>
        <w:tc>
          <w:tcPr>
            <w:tcMar>
              <w:left w:w="108" w:type="dxa"/>
              <w:top w:w="0" w:type="dxa"/>
              <w:right w:w="108" w:type="dxa"/>
              <w:bottom w:w="0" w:type="dxa"/>
            </w:tcMar>
            <w:tcW w:w="323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设备名称</w:t>
            </w:r>
            <w:r>
              <w:rPr>
                <w:highlight w:val="none"/>
              </w:rPr>
            </w:r>
            <w:r>
              <w:rPr>
                <w:highlight w:val="none"/>
              </w:rPr>
            </w:r>
          </w:p>
        </w:tc>
        <w:tc>
          <w:tcPr>
            <w:tcMar>
              <w:left w:w="108" w:type="dxa"/>
              <w:top w:w="0" w:type="dxa"/>
              <w:right w:w="108" w:type="dxa"/>
              <w:bottom w:w="0" w:type="dxa"/>
            </w:tcMar>
            <w:tcW w:w="75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r>
              <w:rPr>
                <w:highlight w:val="none"/>
              </w:rPr>
            </w:r>
          </w:p>
        </w:tc>
        <w:tc>
          <w:tcPr>
            <w:tcMar>
              <w:left w:w="108" w:type="dxa"/>
              <w:top w:w="0" w:type="dxa"/>
              <w:right w:w="108" w:type="dxa"/>
              <w:bottom w:w="0" w:type="dxa"/>
            </w:tcMar>
            <w:tcW w:w="179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采购预算</w:t>
            </w:r>
            <w:r>
              <w:rPr>
                <w:highlight w:val="none"/>
              </w:rPr>
            </w:r>
            <w:r>
              <w:rPr>
                <w:highlight w:val="none"/>
              </w:rP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（人民币）</w:t>
            </w:r>
            <w:r>
              <w:rPr>
                <w:highlight w:val="none"/>
              </w:rPr>
            </w:r>
            <w:r>
              <w:rPr>
                <w:highlight w:val="none"/>
              </w:rPr>
            </w:r>
          </w:p>
        </w:tc>
        <w:tc>
          <w:tcPr>
            <w:tcMar>
              <w:left w:w="108" w:type="dxa"/>
              <w:top w:w="0" w:type="dxa"/>
              <w:right w:w="108" w:type="dxa"/>
              <w:bottom w:w="0" w:type="dxa"/>
            </w:tcMar>
            <w:tcW w:w="22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是否接受进口产品投标</w:t>
            </w:r>
            <w:r>
              <w:rPr>
                <w:highlight w:val="none"/>
              </w:rPr>
            </w:r>
            <w:r>
              <w:rPr>
                <w:highlight w:val="none"/>
              </w:rPr>
            </w:r>
          </w:p>
        </w:tc>
      </w:tr>
      <w:tr>
        <w:trPr>
          <w:jc w:val="center"/>
          <w:trHeight w:val="668"/>
        </w:trPr>
        <w:tc>
          <w:tcPr>
            <w:tcMar>
              <w:left w:w="108" w:type="dxa"/>
              <w:top w:w="0" w:type="dxa"/>
              <w:right w:w="108" w:type="dxa"/>
              <w:bottom w:w="0" w:type="dxa"/>
            </w:tcMar>
            <w:tcW w:w="104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01</w:t>
            </w:r>
            <w:r>
              <w:rPr>
                <w:highlight w:val="none"/>
              </w:rPr>
            </w:r>
            <w:r>
              <w:rPr>
                <w:highlight w:val="none"/>
              </w:rPr>
            </w:r>
          </w:p>
        </w:tc>
        <w:tc>
          <w:tcPr>
            <w:tcMar>
              <w:left w:w="108" w:type="dxa"/>
              <w:top w:w="0" w:type="dxa"/>
              <w:right w:w="108" w:type="dxa"/>
              <w:bottom w:w="0" w:type="dxa"/>
            </w:tcMar>
            <w:tcW w:w="3234" w:type="dxa"/>
            <w:vAlign w:val="center"/>
            <w:textDirection w:val="lrTb"/>
            <w:noWrap w:val="false"/>
          </w:tcPr>
          <w:p>
            <w:pPr>
              <w:jc w:val="center"/>
              <w:spacing w:line="85" w:lineRule="atLeast"/>
              <w:rPr>
                <w:rFonts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高精度经颅磁刺激仪</w:t>
            </w:r>
            <w:r>
              <w:rPr>
                <w:highlight w:val="none"/>
              </w:rPr>
            </w:r>
            <w:r>
              <w:rPr>
                <w:highlight w:val="none"/>
              </w:rPr>
            </w:r>
          </w:p>
        </w:tc>
        <w:tc>
          <w:tcPr>
            <w:tcMar>
              <w:left w:w="108" w:type="dxa"/>
              <w:top w:w="0" w:type="dxa"/>
              <w:right w:w="108" w:type="dxa"/>
              <w:bottom w:w="0" w:type="dxa"/>
            </w:tcMar>
            <w:tcW w:w="758" w:type="dxa"/>
            <w:vAlign w:val="center"/>
            <w:textDirection w:val="lrTb"/>
            <w:noWrap w:val="false"/>
          </w:tcPr>
          <w:p>
            <w:pPr>
              <w:jc w:val="center"/>
              <w:spacing w:line="85"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w:t>
            </w:r>
            <w:r>
              <w:rPr>
                <w:highlight w:val="none"/>
              </w:rPr>
            </w:r>
            <w:r>
              <w:rPr>
                <w:highlight w:val="none"/>
              </w:rPr>
            </w:r>
          </w:p>
        </w:tc>
        <w:tc>
          <w:tcPr>
            <w:tcMar>
              <w:left w:w="108" w:type="dxa"/>
              <w:top w:w="0" w:type="dxa"/>
              <w:right w:w="108" w:type="dxa"/>
              <w:bottom w:w="0" w:type="dxa"/>
            </w:tcMar>
            <w:tcW w:w="179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90</w:t>
            </w:r>
            <w:r>
              <w:rPr>
                <w:rFonts w:ascii="仿宋" w:hAnsi="仿宋" w:eastAsia="仿宋" w:cs="仿宋"/>
                <w:sz w:val="28"/>
                <w:highlight w:val="none"/>
              </w:rPr>
              <w:t xml:space="preserve">万元</w:t>
            </w:r>
            <w:r>
              <w:rPr>
                <w:highlight w:val="none"/>
              </w:rPr>
            </w:r>
            <w:r>
              <w:rPr>
                <w:highlight w:val="none"/>
              </w:rPr>
            </w:r>
          </w:p>
        </w:tc>
        <w:tc>
          <w:tcPr>
            <w:tcMar>
              <w:left w:w="108" w:type="dxa"/>
              <w:top w:w="0" w:type="dxa"/>
              <w:right w:w="108" w:type="dxa"/>
              <w:bottom w:w="0" w:type="dxa"/>
            </w:tcMar>
            <w:tcW w:w="22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不</w:t>
            </w:r>
            <w:r>
              <w:rPr>
                <w:rFonts w:ascii="仿宋" w:hAnsi="仿宋" w:eastAsia="仿宋" w:cs="仿宋"/>
                <w:sz w:val="28"/>
                <w:highlight w:val="none"/>
              </w:rPr>
              <w:t xml:space="preserve">接受</w:t>
            </w:r>
            <w:r>
              <w:rPr>
                <w:highlight w:val="none"/>
              </w:rPr>
            </w:r>
            <w:r>
              <w:rPr>
                <w:highlight w:val="none"/>
              </w:rPr>
            </w:r>
          </w:p>
        </w:tc>
      </w:tr>
    </w:tbl>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5.合同履行期限：合同签订后30日</w:t>
      </w:r>
      <w:r>
        <w:rPr>
          <w:rFonts w:hint="eastAsia" w:ascii="仿宋" w:hAnsi="仿宋" w:eastAsia="仿宋" w:cs="仿宋"/>
          <w:sz w:val="28"/>
          <w:highlight w:val="none"/>
        </w:rPr>
        <w:t xml:space="preserve">内</w:t>
      </w:r>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二、申请人的资格要求：</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（一）通用资格要求</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1.满足《中华人民共和国政府采购法》第二十二条规定。</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sz w:val="28"/>
          <w:highlight w:val="none"/>
        </w:rPr>
        <w:t xml:space="preserve">。</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3.本项目不接受联合体投标。</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4.本项目不接受转包、分包。</w:t>
      </w:r>
      <w:r>
        <w:rPr>
          <w:highlight w:val="none"/>
        </w:rPr>
      </w:r>
      <w:r>
        <w:rPr>
          <w:highlight w:val="none"/>
        </w:rPr>
      </w:r>
    </w:p>
    <w:p>
      <w:pPr>
        <w:ind w:firstLine="561"/>
        <w:spacing w:line="360" w:lineRule="auto"/>
        <w:rPr>
          <w:rFonts w:ascii="仿宋" w:hAnsi="仿宋" w:eastAsia="仿宋" w:cs="仿宋"/>
          <w:sz w:val="28"/>
          <w:highlight w:val="none"/>
        </w:rPr>
      </w:pPr>
      <w:r>
        <w:rPr>
          <w:rFonts w:ascii="仿宋" w:hAnsi="仿宋" w:eastAsia="仿宋" w:cs="仿宋"/>
          <w:sz w:val="28"/>
          <w:highlight w:val="none"/>
        </w:rPr>
        <w:t xml:space="preserve">（二）</w:t>
      </w:r>
      <w:r>
        <w:rPr>
          <w:rFonts w:hint="eastAsia" w:ascii="仿宋" w:hAnsi="仿宋" w:eastAsia="仿宋" w:cs="仿宋"/>
          <w:sz w:val="28"/>
          <w:highlight w:val="none"/>
        </w:rPr>
        <w:t xml:space="preserve">落实政府采购政策需满足的资格要求：本项目专门面向中小企业采购，接受代理商投标，但其所投产品必须由中小企业制造。</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三</w:t>
      </w:r>
      <w:r>
        <w:rPr>
          <w:rFonts w:ascii="仿宋" w:hAnsi="仿宋" w:eastAsia="仿宋" w:cs="仿宋"/>
          <w:sz w:val="28"/>
          <w:highlight w:val="none"/>
        </w:rPr>
        <w:t xml:space="preserve">）本项目的特定资格要求</w:t>
      </w:r>
      <w:r>
        <w:rPr>
          <w:highlight w:val="none"/>
        </w:rPr>
      </w:r>
      <w:r>
        <w:rPr>
          <w:highlight w:val="none"/>
        </w:rPr>
      </w:r>
    </w:p>
    <w:p>
      <w:pPr>
        <w:ind w:firstLine="436"/>
        <w:jc w:val="both"/>
        <w:spacing w:before="145" w:after="145"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1" w:name="_Hlk211819534"/>
      <w:r>
        <w:rPr>
          <w:rFonts w:hint="eastAsia" w:ascii="仿宋" w:hAnsi="仿宋" w:eastAsia="仿宋" w:cs="仿宋"/>
          <w:sz w:val="28"/>
          <w:highlight w:val="none"/>
        </w:rPr>
        <w:t xml:space="preserve">1.投标产品如果属于医疗设备注册/备案范畴的；投标人须根据投标产品的类别，提供有效期内的《医疗器械经营许可证》或者《医疗器械经营备案凭证》（复印件）；</w:t>
      </w:r>
      <w:r>
        <w:rPr>
          <w:highlight w:val="none"/>
        </w:rPr>
      </w:r>
      <w:r>
        <w:rPr>
          <w:highlight w:val="none"/>
        </w:rPr>
      </w:r>
    </w:p>
    <w:p>
      <w:pPr>
        <w:ind w:firstLine="436"/>
        <w:jc w:val="both"/>
        <w:spacing w:before="145" w:after="145"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2．投标产品如果属于医疗设备注册/备案范畴的；投标人须提供投标产品的有效期内的《医疗器械注册证》或者备案凭证（复印件）；</w:t>
      </w:r>
      <w:bookmarkEnd w:id="1"/>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三、获取招标文件</w:t>
      </w:r>
      <w:r>
        <w:rPr>
          <w:highlight w:val="none"/>
        </w:rPr>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1.时间：自招标文件公告发布之日起5个工作日。</w:t>
      </w:r>
      <w:r>
        <w:rPr>
          <w:highlight w:val="none"/>
        </w:rPr>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2.方式：在“江苏政府采购网”自行免费下载招标文件。</w:t>
      </w:r>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四、提交投标文件截止时间、开标时间和地点</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w:t>
      </w:r>
      <w:r>
        <w:rPr>
          <w:rFonts w:ascii="仿宋" w:hAnsi="仿宋" w:eastAsia="仿宋" w:cs="仿宋"/>
          <w:sz w:val="28"/>
          <w:highlight w:val="none"/>
          <w:u w:val="single"/>
        </w:rPr>
        <w:t xml:space="preserve">2025年</w:t>
      </w:r>
      <w:r>
        <w:rPr>
          <w:rFonts w:ascii="仿宋" w:hAnsi="仿宋" w:eastAsia="仿宋" w:cs="仿宋"/>
          <w:sz w:val="28"/>
          <w:highlight w:val="none"/>
          <w:u w:val="single"/>
        </w:rPr>
        <w:t xml:space="preserve">12</w:t>
      </w:r>
      <w:r>
        <w:rPr>
          <w:rFonts w:ascii="仿宋" w:hAnsi="仿宋" w:eastAsia="仿宋" w:cs="仿宋"/>
          <w:sz w:val="28"/>
          <w:highlight w:val="none"/>
          <w:u w:val="single"/>
        </w:rPr>
        <w:t xml:space="preserve">月</w:t>
      </w:r>
      <w:r>
        <w:rPr>
          <w:rFonts w:ascii="仿宋" w:hAnsi="仿宋" w:eastAsia="仿宋" w:cs="仿宋"/>
          <w:sz w:val="28"/>
          <w:highlight w:val="none"/>
          <w:u w:val="single"/>
        </w:rPr>
        <w:t xml:space="preserve">4</w:t>
      </w:r>
      <w:r>
        <w:rPr>
          <w:rFonts w:ascii="仿宋" w:hAnsi="仿宋" w:eastAsia="仿宋" w:cs="仿宋"/>
          <w:sz w:val="28"/>
          <w:highlight w:val="none"/>
          <w:u w:val="single"/>
        </w:rPr>
        <w:t xml:space="preserve">日</w:t>
      </w:r>
      <w:r>
        <w:rPr>
          <w:rFonts w:ascii="仿宋" w:hAnsi="仿宋" w:eastAsia="仿宋" w:cs="仿宋"/>
          <w:sz w:val="28"/>
          <w:highlight w:val="none"/>
          <w:u w:val="single"/>
        </w:rPr>
        <w:t xml:space="preserve">9</w:t>
      </w:r>
      <w:r>
        <w:rPr>
          <w:rFonts w:ascii="仿宋" w:hAnsi="仿宋" w:eastAsia="仿宋" w:cs="仿宋"/>
          <w:sz w:val="28"/>
          <w:highlight w:val="none"/>
          <w:u w:val="single"/>
        </w:rPr>
        <w:t xml:space="preserve">时</w:t>
      </w:r>
      <w:r>
        <w:rPr>
          <w:rFonts w:ascii="仿宋" w:hAnsi="仿宋" w:eastAsia="仿宋" w:cs="仿宋"/>
          <w:sz w:val="28"/>
          <w:highlight w:val="none"/>
          <w:u w:val="single"/>
        </w:rPr>
        <w:t xml:space="preserve">30</w:t>
      </w:r>
      <w:r>
        <w:rPr>
          <w:rFonts w:ascii="仿宋" w:hAnsi="仿宋" w:eastAsia="仿宋" w:cs="仿宋"/>
          <w:sz w:val="28"/>
          <w:highlight w:val="none"/>
          <w:u w:val="single"/>
        </w:rPr>
        <w:t xml:space="preserve">分（北京时间）</w:t>
      </w:r>
      <w:r>
        <w:rPr>
          <w:rFonts w:ascii="仿宋" w:hAnsi="仿宋" w:eastAsia="仿宋" w:cs="仿宋"/>
          <w:sz w:val="28"/>
          <w:highlight w:val="none"/>
        </w:rPr>
        <w:t xml:space="preserve">。</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2.地点：“苏</w:t>
      </w:r>
      <w:r>
        <w:rPr>
          <w:rFonts w:ascii="仿宋" w:hAnsi="仿宋" w:eastAsia="仿宋" w:cs="仿宋"/>
          <w:sz w:val="28"/>
          <w:highlight w:val="none"/>
        </w:rPr>
        <w:t xml:space="preserve">采云</w:t>
      </w:r>
      <w:r>
        <w:rPr>
          <w:rFonts w:ascii="仿宋" w:hAnsi="仿宋" w:eastAsia="仿宋" w:cs="仿宋"/>
          <w:sz w:val="28"/>
          <w:highlight w:val="none"/>
        </w:rPr>
        <w:t xml:space="preserve">”政府采购交易系统网上开标大厅。</w:t>
      </w:r>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五、公告期限</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招标公告及招标文件公告期限为自本公告发布之日起5个工作日。</w:t>
      </w:r>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六、其他补充事宜</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1.投标保证金：免收</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w:t>
      </w:r>
      <w:r>
        <w:rPr>
          <w:rFonts w:ascii="仿宋" w:hAnsi="仿宋" w:eastAsia="仿宋" w:cs="仿宋"/>
          <w:sz w:val="28"/>
          <w:highlight w:val="none"/>
        </w:rPr>
        <w:t xml:space="preserve">.</w:t>
      </w:r>
      <w:r>
        <w:rPr>
          <w:rFonts w:hint="eastAsia" w:ascii="仿宋" w:hAnsi="仿宋" w:eastAsia="仿宋" w:cs="仿宋"/>
          <w:sz w:val="28"/>
          <w:highlight w:val="none"/>
        </w:rPr>
        <w:t xml:space="preserve">履约保证金：本项目收取中标金额的10%作为履约保证金，中标人接受中标通知书后签订合同前支付给采购人。履约保证金按合同约定无息退还。</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3.项目演示、样品、答辩等：无。</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系统操作过程中如遇问题，请致电“苏</w:t>
      </w:r>
      <w:r>
        <w:rPr>
          <w:rFonts w:ascii="仿宋" w:hAnsi="仿宋" w:eastAsia="仿宋" w:cs="仿宋"/>
          <w:sz w:val="28"/>
          <w:highlight w:val="none"/>
        </w:rPr>
        <w:t xml:space="preserve">采云</w:t>
      </w:r>
      <w:r>
        <w:rPr>
          <w:rFonts w:ascii="仿宋" w:hAnsi="仿宋" w:eastAsia="仿宋" w:cs="仿宋"/>
          <w:sz w:val="28"/>
          <w:highlight w:val="none"/>
        </w:rPr>
        <w:t xml:space="preserve">”客服0519-86722801。</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5.有关本次招标的事项若存在变动或修改，均以江苏政府采购网发布的更正或补充通知为准，敬请及时关注。</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6.供应商应依照规定提交各类声明函、承诺函，不再同时提供原件备查或提供有关部门出具的相关证明文件。但中标供应商应做好提交声明函、承诺</w:t>
      </w:r>
      <w:r>
        <w:rPr>
          <w:rFonts w:ascii="仿宋" w:hAnsi="仿宋" w:eastAsia="仿宋" w:cs="仿宋"/>
          <w:sz w:val="28"/>
          <w:highlight w:val="none"/>
        </w:rPr>
        <w:t xml:space="preserve">函相应</w:t>
      </w:r>
      <w:r>
        <w:rPr>
          <w:rFonts w:ascii="仿宋" w:hAnsi="仿宋" w:eastAsia="仿宋" w:cs="仿宋"/>
          <w:sz w:val="28"/>
          <w:highlight w:val="none"/>
        </w:rPr>
        <w:t xml:space="preserve">原件的核查准备；核查后发现虚假或违背承诺的，依照相关法律法规规定处理。</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 “苏</w:t>
      </w:r>
      <w:r>
        <w:rPr>
          <w:rFonts w:ascii="仿宋" w:hAnsi="仿宋" w:eastAsia="仿宋" w:cs="仿宋"/>
          <w:sz w:val="28"/>
          <w:highlight w:val="none"/>
        </w:rPr>
        <w:t xml:space="preserve">采云</w:t>
      </w:r>
      <w:r>
        <w:rPr>
          <w:rFonts w:ascii="仿宋" w:hAnsi="仿宋" w:eastAsia="仿宋" w:cs="仿宋"/>
          <w:sz w:val="28"/>
          <w:highlight w:val="none"/>
        </w:rPr>
        <w:t xml:space="preserve">”系统使用相关提醒</w:t>
      </w:r>
      <w:r>
        <w:rPr>
          <w:highlight w:val="none"/>
        </w:rPr>
      </w:r>
      <w:r>
        <w:rPr>
          <w:highlight w:val="none"/>
        </w:rPr>
      </w:r>
    </w:p>
    <w:p>
      <w:pPr>
        <w:ind w:firstLine="560"/>
        <w:jc w:val="both"/>
        <w:spacing w:line="47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7.1.根据省财政厅《关于更换全省政府采购交易系统C A数字证书和电子签章的通知》（</w:t>
      </w:r>
      <w:r>
        <w:rPr>
          <w:rFonts w:ascii="仿宋" w:hAnsi="仿宋" w:eastAsia="仿宋" w:cs="仿宋"/>
          <w:sz w:val="28"/>
          <w:highlight w:val="none"/>
        </w:rPr>
        <w:t xml:space="preserve">苏财购〔2023〕</w:t>
      </w:r>
      <w:r>
        <w:rPr>
          <w:rFonts w:ascii="仿宋" w:hAnsi="仿宋" w:eastAsia="仿宋" w:cs="仿宋"/>
          <w:sz w:val="28"/>
          <w:highlight w:val="none"/>
        </w:rPr>
        <w:t xml:space="preserve">101号），“苏</w:t>
      </w:r>
      <w:r>
        <w:rPr>
          <w:rFonts w:ascii="仿宋" w:hAnsi="仿宋" w:eastAsia="仿宋" w:cs="仿宋"/>
          <w:sz w:val="28"/>
          <w:highlight w:val="none"/>
        </w:rPr>
        <w:t xml:space="preserve">采云</w:t>
      </w:r>
      <w:r>
        <w:rPr>
          <w:rFonts w:ascii="仿宋" w:hAnsi="仿宋" w:eastAsia="仿宋" w:cs="仿宋"/>
          <w:sz w:val="28"/>
          <w:highlight w:val="none"/>
        </w:rPr>
        <w:t xml:space="preserve">”政府采购交易系统（以下简称苏</w:t>
      </w:r>
      <w:r>
        <w:rPr>
          <w:rFonts w:ascii="仿宋" w:hAnsi="仿宋" w:eastAsia="仿宋" w:cs="仿宋"/>
          <w:sz w:val="28"/>
          <w:highlight w:val="none"/>
        </w:rPr>
        <w:t xml:space="preserve">采云</w:t>
      </w:r>
      <w:r>
        <w:rPr>
          <w:rFonts w:ascii="仿宋" w:hAnsi="仿宋" w:eastAsia="仿宋" w:cs="仿宋"/>
          <w:sz w:val="28"/>
          <w:highlight w:val="none"/>
        </w:rPr>
        <w:t xml:space="preserve">系统）的CA数字证书、电子签章已更换为江苏省电子政务证书认证中心C A和方正国际软件（北京）有限公司电子签章。如果投标人通过苏</w:t>
      </w:r>
      <w:r>
        <w:rPr>
          <w:rFonts w:ascii="仿宋" w:hAnsi="仿宋" w:eastAsia="仿宋" w:cs="仿宋"/>
          <w:sz w:val="28"/>
          <w:highlight w:val="none"/>
        </w:rPr>
        <w:t xml:space="preserve">采云</w:t>
      </w:r>
      <w:r>
        <w:rPr>
          <w:rFonts w:ascii="仿宋" w:hAnsi="仿宋" w:eastAsia="仿宋" w:cs="仿宋"/>
          <w:sz w:val="28"/>
          <w:highlight w:val="none"/>
        </w:rPr>
        <w:t xml:space="preserve">系统参与政府采购项目，需要更换CA数字证书和电子签章。</w:t>
      </w:r>
      <w:r>
        <w:rPr>
          <w:rFonts w:ascii="仿宋" w:hAnsi="仿宋" w:eastAsia="仿宋" w:cs="仿宋"/>
          <w:b/>
          <w:sz w:val="28"/>
          <w:highlight w:val="none"/>
        </w:rPr>
        <w:t xml:space="preserve">具体办理指南和操作手册见链接：http://www.ccgp-jiangsu.gov.cn/jiangsu/zlxz/ee/ee3a4bc5a3454aa2b0d9312230633ce9.html。</w:t>
      </w:r>
      <w:r>
        <w:rPr>
          <w:highlight w:val="none"/>
        </w:rPr>
      </w:r>
      <w:r>
        <w:rPr>
          <w:highlight w:val="none"/>
        </w:rPr>
      </w:r>
    </w:p>
    <w:p>
      <w:pPr>
        <w:ind w:firstLine="560"/>
        <w:jc w:val="both"/>
        <w:spacing w:after="120"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7.2领取CA和办理电子签章请至南通市政务服务中心裙楼四楼（南通市公共资源交中心）CA办理窗口办理，详见《江苏省政府采购数字证书(供应商)</w:t>
      </w:r>
      <w:r>
        <w:rPr>
          <w:rFonts w:ascii="宋体" w:hAnsi="宋体" w:eastAsia="宋体" w:cs="宋体"/>
          <w:sz w:val="28"/>
          <w:highlight w:val="none"/>
        </w:rPr>
        <w:t xml:space="preserve"> </w:t>
      </w:r>
      <w:r>
        <w:rPr>
          <w:rFonts w:ascii="仿宋" w:hAnsi="仿宋" w:eastAsia="仿宋" w:cs="仿宋"/>
          <w:sz w:val="28"/>
          <w:highlight w:val="none"/>
        </w:rPr>
        <w:t xml:space="preserve">CA及电子签章办理指南》），请及时进行注册并按要求制作、上传电子投标文件。</w:t>
      </w:r>
      <w:r>
        <w:rPr>
          <w:highlight w:val="none"/>
        </w:rPr>
      </w:r>
      <w:r>
        <w:rPr>
          <w:highlight w:val="none"/>
        </w:rPr>
      </w:r>
    </w:p>
    <w:p>
      <w:pPr>
        <w:ind w:firstLine="560"/>
        <w:jc w:val="both"/>
        <w:spacing w:after="120"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7</w:t>
      </w:r>
      <w:r>
        <w:rPr>
          <w:rFonts w:ascii="仿宋" w:hAnsi="仿宋" w:eastAsia="仿宋" w:cs="仿宋"/>
          <w:sz w:val="28"/>
          <w:highlight w:val="none"/>
        </w:rPr>
        <w:t xml:space="preserve">.3</w:t>
      </w:r>
      <w:r>
        <w:rPr>
          <w:rFonts w:hint="eastAsia" w:ascii="仿宋" w:hAnsi="仿宋" w:eastAsia="仿宋" w:cs="仿宋"/>
          <w:sz w:val="28"/>
          <w:highlight w:val="none"/>
        </w:rPr>
        <w:t xml:space="preserve">参与采购活动：供应商插入CA证书登录“苏</w:t>
      </w:r>
      <w:r>
        <w:rPr>
          <w:rFonts w:hint="eastAsia" w:ascii="仿宋" w:hAnsi="仿宋" w:eastAsia="仿宋" w:cs="仿宋"/>
          <w:sz w:val="28"/>
          <w:highlight w:val="none"/>
        </w:rPr>
        <w:t xml:space="preserve">采云</w:t>
      </w:r>
      <w:r>
        <w:rPr>
          <w:rFonts w:hint="eastAsia" w:ascii="仿宋" w:hAnsi="仿宋" w:eastAsia="仿宋" w:cs="仿宋"/>
          <w:sz w:val="28"/>
          <w:highlight w:val="none"/>
        </w:rPr>
        <w:t xml:space="preserve">”系统后选择具体项目，点击“我要参与”并签章提交《投标供应商确认函》，提交《投标供应商确认函》日期视同为依法获取招标文件日期。供应商须打印、保留《投标供应商确认函》，质疑时《投标供</w:t>
      </w:r>
      <w:r>
        <w:rPr>
          <w:rFonts w:hint="eastAsia" w:ascii="仿宋" w:hAnsi="仿宋" w:eastAsia="仿宋" w:cs="仿宋"/>
          <w:sz w:val="28"/>
          <w:highlight w:val="none"/>
        </w:rPr>
        <w:t xml:space="preserve">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w:t>
      </w:r>
      <w:r>
        <w:rPr>
          <w:rFonts w:hint="eastAsia" w:ascii="仿宋" w:hAnsi="仿宋" w:eastAsia="仿宋" w:cs="仿宋"/>
          <w:sz w:val="28"/>
          <w:highlight w:val="none"/>
        </w:rPr>
        <w:t xml:space="preserve">不做为</w:t>
      </w:r>
      <w:r>
        <w:rPr>
          <w:rFonts w:hint="eastAsia" w:ascii="仿宋" w:hAnsi="仿宋" w:eastAsia="仿宋" w:cs="仿宋"/>
          <w:sz w:val="28"/>
          <w:highlight w:val="none"/>
        </w:rPr>
        <w:t xml:space="preserve">供应商权益收到损害的证明材料和依据。</w:t>
      </w:r>
      <w:r>
        <w:rPr>
          <w:highlight w:val="none"/>
        </w:rPr>
      </w:r>
      <w:r>
        <w:rPr>
          <w:highlight w:val="none"/>
        </w:rPr>
      </w:r>
    </w:p>
    <w:p>
      <w:pPr>
        <w:ind w:right="120" w:firstLine="562"/>
        <w:jc w:val="both"/>
        <w:spacing w:after="12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7.4</w:t>
      </w:r>
      <w:r>
        <w:rPr>
          <w:rFonts w:ascii="仿宋" w:hAnsi="仿宋" w:eastAsia="仿宋" w:cs="仿宋"/>
          <w:sz w:val="28"/>
          <w:highlight w:val="none"/>
        </w:rPr>
        <w:t xml:space="preserve">开标当天投标供应商应及时登录“苏</w:t>
      </w:r>
      <w:r>
        <w:rPr>
          <w:rFonts w:ascii="仿宋" w:hAnsi="仿宋" w:eastAsia="仿宋" w:cs="仿宋"/>
          <w:sz w:val="28"/>
          <w:highlight w:val="none"/>
        </w:rPr>
        <w:t xml:space="preserve">采云</w:t>
      </w:r>
      <w:r>
        <w:rPr>
          <w:rFonts w:ascii="仿宋" w:hAnsi="仿宋" w:eastAsia="仿宋" w:cs="仿宋"/>
          <w:sz w:val="28"/>
          <w:highlight w:val="none"/>
        </w:rPr>
        <w:t xml:space="preserve">”不见面开标大厅，并在规定时间内自行实施远程解密。</w:t>
      </w:r>
      <w:r>
        <w:rPr>
          <w:rFonts w:ascii="仿宋" w:hAnsi="仿宋" w:eastAsia="仿宋" w:cs="仿宋"/>
          <w:b/>
          <w:sz w:val="28"/>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w:t>
      </w:r>
      <w:r>
        <w:rPr>
          <w:rFonts w:ascii="仿宋" w:hAnsi="仿宋" w:eastAsia="仿宋" w:cs="仿宋"/>
          <w:b/>
          <w:sz w:val="28"/>
          <w:highlight w:val="none"/>
        </w:rPr>
        <w:t xml:space="preserve">解密锁用错</w:t>
      </w:r>
      <w:r>
        <w:rPr>
          <w:rFonts w:ascii="仿宋" w:hAnsi="仿宋" w:eastAsia="仿宋" w:cs="仿宋"/>
          <w:b/>
          <w:sz w:val="28"/>
          <w:highlight w:val="none"/>
        </w:rPr>
        <w:t xml:space="preserve">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highlight w:val="none"/>
        </w:rPr>
        <w:t xml:space="preserve">因采购</w:t>
      </w:r>
      <w:r>
        <w:rPr>
          <w:rFonts w:ascii="仿宋" w:hAnsi="仿宋" w:eastAsia="仿宋" w:cs="仿宋"/>
          <w:sz w:val="28"/>
          <w:highlight w:val="none"/>
        </w:rPr>
        <w:t xml:space="preserve">人原因</w:t>
      </w:r>
      <w:r>
        <w:rPr>
          <w:rFonts w:ascii="仿宋" w:hAnsi="仿宋" w:eastAsia="仿宋" w:cs="仿宋"/>
          <w:sz w:val="28"/>
          <w:highlight w:val="none"/>
        </w:rPr>
        <w:t xml:space="preserve">或网上招投标平台发生故障，导致无法按时完成响应文件解密或开、评标工作无法进行的，可根据实际情况相应延迟解密时间或调整开、评标时间。</w:t>
      </w:r>
      <w:r>
        <w:rPr>
          <w:highlight w:val="none"/>
        </w:rPr>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七、本次招标联系方式</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1.采购人信息</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 称：南通市第二人民医院</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w:t>
      </w:r>
      <w:r>
        <w:rPr>
          <w:rFonts w:hint="eastAsia" w:ascii="仿宋" w:hAnsi="仿宋" w:eastAsia="仿宋" w:cs="仿宋"/>
          <w:sz w:val="28"/>
          <w:highlight w:val="none"/>
        </w:rPr>
        <w:t xml:space="preserve">南通市崇川区新华路298号</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联系人：陈老师</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联系电话：0513-</w:t>
      </w:r>
      <w:r>
        <w:rPr>
          <w:rFonts w:ascii="仿宋" w:hAnsi="仿宋" w:eastAsia="仿宋" w:cs="仿宋"/>
          <w:sz w:val="28"/>
          <w:highlight w:val="none"/>
        </w:rPr>
        <w:t xml:space="preserve">55076887</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2.采购代理机构信息</w:t>
      </w:r>
      <w:r>
        <w:rPr>
          <w:highlight w:val="none"/>
        </w:rPr>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 称：</w:t>
      </w:r>
      <w:r>
        <w:rPr>
          <w:rFonts w:hint="eastAsia" w:ascii="仿宋" w:hAnsi="仿宋" w:eastAsia="仿宋" w:cs="仿宋"/>
          <w:sz w:val="28"/>
          <w:highlight w:val="none"/>
        </w:rPr>
        <w:t xml:space="preserve">江苏苏豪创新科技集团高科有限公司</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址：南京市雨花台区软件大道21号</w:t>
      </w:r>
      <w:r>
        <w:rPr>
          <w:rFonts w:hint="eastAsia" w:ascii="仿宋" w:hAnsi="仿宋" w:eastAsia="仿宋" w:cs="仿宋"/>
          <w:sz w:val="28"/>
          <w:highlight w:val="none"/>
        </w:rPr>
        <w:t xml:space="preserve">苏豪</w:t>
      </w:r>
      <w:r>
        <w:rPr>
          <w:rFonts w:ascii="仿宋" w:hAnsi="仿宋" w:eastAsia="仿宋" w:cs="仿宋"/>
          <w:sz w:val="28"/>
          <w:highlight w:val="none"/>
        </w:rPr>
        <w:t xml:space="preserve">集团C座110室</w:t>
      </w:r>
      <w:r>
        <w:rPr>
          <w:highlight w:val="none"/>
        </w:rPr>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联系人：吴志叶、</w:t>
      </w:r>
      <w:r>
        <w:rPr>
          <w:rFonts w:hint="eastAsia" w:ascii="仿宋" w:hAnsi="仿宋" w:eastAsia="仿宋" w:cs="仿宋"/>
          <w:sz w:val="28"/>
          <w:highlight w:val="none"/>
        </w:rPr>
        <w:t xml:space="preserve">吴</w:t>
      </w:r>
      <w:r>
        <w:rPr>
          <w:rFonts w:hint="eastAsia" w:ascii="仿宋" w:hAnsi="仿宋" w:eastAsia="仿宋" w:cs="仿宋"/>
          <w:sz w:val="28"/>
          <w:highlight w:val="none"/>
        </w:rPr>
        <w:t xml:space="preserve">岢</w:t>
      </w:r>
      <w:r>
        <w:rPr>
          <w:rFonts w:hint="eastAsia" w:ascii="仿宋" w:hAnsi="仿宋" w:eastAsia="仿宋" w:cs="仿宋"/>
          <w:sz w:val="28"/>
          <w:highlight w:val="none"/>
        </w:rPr>
        <w:t xml:space="preserve">非</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联系方式：025-52875936、025-52875983</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3.项目联系方式：</w:t>
      </w:r>
      <w:r>
        <w:rPr>
          <w:highlight w:val="none"/>
        </w:rPr>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项目联系人：吴志叶、</w:t>
      </w:r>
      <w:r>
        <w:rPr>
          <w:rFonts w:hint="eastAsia" w:ascii="仿宋" w:hAnsi="仿宋" w:eastAsia="仿宋" w:cs="仿宋"/>
          <w:sz w:val="28"/>
          <w:highlight w:val="none"/>
        </w:rPr>
        <w:t xml:space="preserve">吴</w:t>
      </w:r>
      <w:r>
        <w:rPr>
          <w:rFonts w:hint="eastAsia" w:ascii="仿宋" w:hAnsi="仿宋" w:eastAsia="仿宋" w:cs="仿宋"/>
          <w:sz w:val="28"/>
          <w:highlight w:val="none"/>
        </w:rPr>
        <w:t xml:space="preserve">岢</w:t>
      </w:r>
      <w:r>
        <w:rPr>
          <w:rFonts w:hint="eastAsia" w:ascii="仿宋" w:hAnsi="仿宋" w:eastAsia="仿宋" w:cs="仿宋"/>
          <w:sz w:val="28"/>
          <w:highlight w:val="none"/>
        </w:rPr>
        <w:t xml:space="preserve">非</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联系方式：025-52875936、025-52875983</w:t>
      </w:r>
      <w:r>
        <w:rPr>
          <w:highlight w:val="none"/>
        </w:rPr>
      </w:r>
      <w:r>
        <w:rPr>
          <w:highlight w:val="none"/>
        </w:rPr>
      </w:r>
    </w:p>
    <w:p>
      <w:pPr>
        <w:rPr>
          <w:rFonts w:eastAsia="Times New Roman"/>
          <w:sz w:val="28"/>
          <w:highlight w:val="none"/>
        </w:rPr>
        <w:pBdr>
          <w:top w:val="none" w:color="000000" w:sz="0" w:space="0"/>
          <w:left w:val="none" w:color="000000" w:sz="0" w:space="0"/>
          <w:bottom w:val="none" w:color="000000" w:sz="0" w:space="0"/>
          <w:right w:val="none" w:color="000000" w:sz="0" w:space="0"/>
        </w:pBdr>
      </w:pPr>
      <w:r>
        <w:rPr>
          <w:rFonts w:eastAsia="Times New Roman"/>
          <w:sz w:val="28"/>
          <w:highlight w:val="none"/>
        </w:rPr>
      </w:r>
      <w:r>
        <w:rPr>
          <w:highlight w:val="none"/>
        </w:rPr>
      </w:r>
      <w:r>
        <w:rPr>
          <w:highlight w:val="none"/>
        </w:rPr>
      </w:r>
    </w:p>
    <w:p>
      <w:pPr>
        <w:rPr>
          <w:rFonts w:eastAsia="Times New Roman"/>
          <w:sz w:val="28"/>
          <w:highlight w:val="none"/>
        </w:rPr>
      </w:pPr>
      <w:r>
        <w:rPr>
          <w:rFonts w:eastAsia="Times New Roman"/>
          <w:sz w:val="28"/>
          <w:highlight w:val="none"/>
        </w:rPr>
        <w:br w:type="page" w:clear="all"/>
      </w:r>
      <w:r>
        <w:rPr>
          <w:highlight w:val="none"/>
        </w:rPr>
      </w:r>
      <w:r>
        <w:rPr>
          <w:highlight w:val="none"/>
        </w:rPr>
      </w:r>
    </w:p>
    <w:p>
      <w:pPr>
        <w:pStyle w:val="800"/>
        <w:jc w:val="center"/>
        <w:rPr>
          <w:rFonts w:ascii="宋体" w:hAnsi="宋体" w:eastAsia="宋体" w:cs="宋体"/>
          <w:highlight w:val="none"/>
        </w:rPr>
      </w:pPr>
      <w:r>
        <w:rPr>
          <w:rFonts w:hint="eastAsia" w:ascii="宋体" w:hAnsi="宋体" w:eastAsia="宋体" w:cs="宋体"/>
          <w:highlight w:val="none"/>
        </w:rPr>
        <w:t xml:space="preserve">第二章  投标人须知</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一、总则</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1.招标方式</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 本次招标采取公开招标方式，本招标文件仅适用于招标公告中所述项目。</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2.合格的投标人</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2.1满足招标公告中供应商的资格要求的规定。</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 满足本文件实质性条款的规定。</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3.适用法律</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本次招标及由此产生的合同受中华人民共和国有关的法律法规制约和保护。</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4.投标费用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4.1 投标人应自行承担所有与参加投标有关的费用，无论投标过程中的做法和结果如何，</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（以下简称代理机构）在任何情况下均无义务和责任承担这些费用。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4.2本次招标代理机构和采购人不收取标书工本费。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4.3</w:t>
      </w:r>
      <w:r>
        <w:rPr>
          <w:rFonts w:hint="eastAsia" w:ascii="仿宋" w:hAnsi="仿宋" w:eastAsia="仿宋" w:cs="仿宋"/>
          <w:sz w:val="28"/>
          <w:highlight w:val="none"/>
        </w:rPr>
        <w:t xml:space="preserve">中标人向采购代理机构支付招标服务费，服务费按计价格〔2002〕1980号《招标代理服务收费管理暂行办法》货物类的66%计取。</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开户名：江苏苏豪创新科技集团高科有限公司</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开户行：工行南京市白下支行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号：4301013119100888895</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5.招标文件的约束力</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5.1 投标人一旦参加本项目采购活动，即被认为接受了本招标文件的规定和约束。</w:t>
      </w:r>
      <w:r>
        <w:rPr>
          <w:highlight w:val="none"/>
        </w:rPr>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二、招标文件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6、招标文件构成</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 招标文件由以下部分组成：</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（1）投标邀请</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（2）投标人须知</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（3）合同文本</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（4）采购需求</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（5）评标方法与评标标准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（6）投标文件格式</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请仔细检查招标文件是否齐全，如有</w:t>
      </w:r>
      <w:r>
        <w:rPr>
          <w:rFonts w:ascii="仿宋" w:hAnsi="仿宋" w:eastAsia="仿宋" w:cs="仿宋"/>
          <w:sz w:val="28"/>
          <w:highlight w:val="none"/>
        </w:rPr>
        <w:t xml:space="preserve">缺漏请</w:t>
      </w:r>
      <w:r>
        <w:rPr>
          <w:rFonts w:ascii="仿宋" w:hAnsi="仿宋" w:eastAsia="仿宋" w:cs="仿宋"/>
          <w:sz w:val="28"/>
          <w:highlight w:val="none"/>
        </w:rPr>
        <w:t xml:space="preserve">立即与代理机构联系解决。</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仿宋" w:hAnsi="仿宋" w:eastAsia="仿宋" w:cs="仿宋"/>
          <w:sz w:val="28"/>
          <w:highlight w:val="none"/>
        </w:rPr>
        <w:t xml:space="preserve">作出</w:t>
      </w:r>
      <w:r>
        <w:rPr>
          <w:rFonts w:ascii="仿宋" w:hAnsi="仿宋" w:eastAsia="仿宋" w:cs="仿宋"/>
          <w:sz w:val="28"/>
          <w:highlight w:val="none"/>
        </w:rPr>
        <w:t xml:space="preserve">实质性响应，否则其风险由投标人自行承担。</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7、招标文件的澄清</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任何要求对招标文件进行澄清的投标人，应在投标截止期</w:t>
      </w:r>
      <w:r>
        <w:rPr>
          <w:rFonts w:ascii="仿宋" w:hAnsi="仿宋" w:eastAsia="仿宋" w:cs="仿宋"/>
          <w:b/>
          <w:sz w:val="28"/>
          <w:highlight w:val="none"/>
        </w:rPr>
        <w:t xml:space="preserve">十日</w:t>
      </w:r>
      <w:r>
        <w:rPr>
          <w:rFonts w:ascii="仿宋" w:hAnsi="仿宋" w:eastAsia="仿宋" w:cs="仿宋"/>
          <w:sz w:val="28"/>
          <w:highlight w:val="none"/>
        </w:rPr>
        <w:t xml:space="preserve">前按招标公告中的通讯地址，以书面形式通知代理机构。采购人有权对发出的招标文件进行必要的澄清或修改。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8、招标文件的修改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8.1 在投标截止时间前，代理机构可以对招标文件进行修改。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8.2 代理机构有权按照法定的要求推迟投标截止日期和开标日期。</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8.3 招标文件的修改将在江苏政府采购网公布，补充文件将作为招标文件的组成部分，并对投标人具有约束力。</w:t>
      </w:r>
      <w:r>
        <w:rPr>
          <w:highlight w:val="none"/>
        </w:rPr>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三、投标文件的编制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9、投标文件的语言及度量衡单位</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9.1 投标人提交的投标文件以及投标人与代理机构就有关投标的所有来往通知、函件和文件均应使用简体中文。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9.2 除技术性能另有规定外，投标文件所使用的度量衡单位，均须采用国家法定计量单位。</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10、投标文件构成</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10.2 如标书制作工具中格式和内容与“江苏政府采购网”发布的招标文件不一致，请以“江苏政府采购网”发布的招标文件为准。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11、证明投标人及投标标的符合招标文件规定的文件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11.1 投标人应按照招标文件要求提交证明文件，证明其及投标标的符合招标文件规定。</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11.2招标文件对证明文件无明确形式要求的，证明文件可以以文字资料、图纸和数据等形式提交。</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12、投标分项报价表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12.1 投标人按照招标文件规定格式填报投标分项报价表。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12.2投标货币。投标文件中的单价和总价无特殊规定的采用人民币报价，以元为单位标注。招标文件中另有规定的按规定执行。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13、技术要求响应及偏离表、商务要求响应及偏离表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13.1投标人需对招标文件中的技术要求与商务要求逐项</w:t>
      </w:r>
      <w:r>
        <w:rPr>
          <w:rFonts w:ascii="仿宋" w:hAnsi="仿宋" w:eastAsia="仿宋" w:cs="仿宋"/>
          <w:sz w:val="28"/>
          <w:highlight w:val="none"/>
        </w:rPr>
        <w:t xml:space="preserve">作出</w:t>
      </w:r>
      <w:r>
        <w:rPr>
          <w:rFonts w:ascii="仿宋" w:hAnsi="仿宋" w:eastAsia="仿宋" w:cs="仿宋"/>
          <w:sz w:val="28"/>
          <w:highlight w:val="none"/>
        </w:rPr>
        <w:t xml:space="preserve">响应或偏离，并说明原因。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13.2投标人需按照招标文件要求，在投标文件中提供与技术要求和商务要求相关的证明材料。</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14、服务承诺、培训计划、人员安排及其他</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14.1 投标人需根据招标文件要求提供有关售后服务的管理制度，售后服务机构的分布情况，售后服务人员的数量、素质、技术水平及售后服务的反应能力等。</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14.2 投标人需根据招标文件要求提供培训计划。</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14.3  投标人需根据招标文件要求提供所投标的</w:t>
      </w:r>
      <w:r>
        <w:rPr>
          <w:rFonts w:ascii="仿宋" w:hAnsi="仿宋" w:eastAsia="仿宋" w:cs="仿宋"/>
          <w:sz w:val="28"/>
          <w:highlight w:val="none"/>
        </w:rPr>
        <w:t xml:space="preserve">的</w:t>
      </w:r>
      <w:r>
        <w:rPr>
          <w:rFonts w:ascii="仿宋" w:hAnsi="仿宋" w:eastAsia="仿宋" w:cs="仿宋"/>
          <w:sz w:val="28"/>
          <w:highlight w:val="none"/>
        </w:rPr>
        <w:t xml:space="preserve">主要组成部分、功能设计、实现思路及关键技术等。</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15、投标函和开标一览表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15.1 投标人应按照招标文件中提供的格式完整、正确填写投标函、开标一览表。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15.2 </w:t>
      </w:r>
      <w:r>
        <w:rPr>
          <w:rFonts w:ascii="仿宋" w:hAnsi="仿宋" w:eastAsia="仿宋" w:cs="仿宋"/>
          <w:b/>
          <w:sz w:val="28"/>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16、投标有效期</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16.1投标有效期为代理机构规定的开标之日后</w:t>
      </w:r>
      <w:r>
        <w:rPr>
          <w:rFonts w:ascii="仿宋" w:hAnsi="仿宋" w:eastAsia="仿宋" w:cs="仿宋"/>
          <w:b/>
          <w:sz w:val="28"/>
          <w:highlight w:val="none"/>
          <w:u w:val="single"/>
        </w:rPr>
        <w:t xml:space="preserve">九十（90）天</w:t>
      </w:r>
      <w:r>
        <w:rPr>
          <w:rFonts w:ascii="仿宋" w:hAnsi="仿宋" w:eastAsia="仿宋" w:cs="仿宋"/>
          <w:sz w:val="28"/>
          <w:highlight w:val="none"/>
        </w:rPr>
        <w:t xml:space="preserve">。投标有效期比规定短的将被视为未实质性响应招标文件而予以拒绝。</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17、投标有效期的延长</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四、投标文件的递交</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18、电子投标文件的递交</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18.1投标人应当按照《操作手册》规定，在投标截止时间</w:t>
      </w:r>
      <w:r>
        <w:rPr>
          <w:rFonts w:ascii="仿宋" w:hAnsi="仿宋" w:eastAsia="仿宋" w:cs="仿宋"/>
          <w:sz w:val="28"/>
          <w:highlight w:val="none"/>
        </w:rPr>
        <w:t xml:space="preserve">前制作</w:t>
      </w:r>
      <w:r>
        <w:rPr>
          <w:rFonts w:ascii="仿宋" w:hAnsi="仿宋" w:eastAsia="仿宋" w:cs="仿宋"/>
          <w:sz w:val="28"/>
          <w:highlight w:val="none"/>
        </w:rPr>
        <w:t xml:space="preserve">并上传电子投标文件。</w:t>
      </w:r>
      <w:r>
        <w:rPr>
          <w:highlight w:val="none"/>
        </w:rPr>
      </w:r>
      <w:r>
        <w:rPr>
          <w:highlight w:val="none"/>
        </w:rPr>
      </w:r>
    </w:p>
    <w:p>
      <w:pPr>
        <w:jc w:val="both"/>
        <w:spacing w:before="280" w:after="29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19、投标截止日期</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u w:val="single"/>
        </w:rPr>
        <w:t xml:space="preserve">19.1 投标人上传电子投标文件的时间不得迟于招标公告中规定的投标截止时间。</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20、投标文件的拒收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20.1 代理机构拒绝接收在其规定的投标截止时间后上传的任何投标文件。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21、投标文件的撤回和修改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 投标文件的撤回</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21.1.1 电子投标文件的撤回</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投标人可在投标截止时间前，撤回其电子投标文件，具体操作方法见《操作手册》。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21.1.2 投标人撤回电子投标文件，则认为其不再参与本项目投标活动。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 投标文件的修改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21.2.1投标人可在投标截止时间前，对其电子投标文件进行修改，具体操作方法见《操作手册》。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21.2.2 在投标截止时间之后，投标人不得对其电子投标文件作任何修改。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21.3 在投标截止时间至招标文件中规定的投标有效期满之间的这段时间内，投标人不得撤回其投标。</w:t>
      </w:r>
      <w:r>
        <w:rPr>
          <w:highlight w:val="none"/>
        </w:rPr>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五、开标与评标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22、开标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22.1代理机构将在招标公告中规定的时间和地点组织公开开标。投标人应当按照《操作手册》规定，参加开标活动和在苏</w:t>
      </w:r>
      <w:r>
        <w:rPr>
          <w:rFonts w:ascii="仿宋" w:hAnsi="仿宋" w:eastAsia="仿宋" w:cs="仿宋"/>
          <w:sz w:val="28"/>
          <w:highlight w:val="none"/>
        </w:rPr>
        <w:t xml:space="preserve">采云</w:t>
      </w:r>
      <w:r>
        <w:rPr>
          <w:rFonts w:ascii="仿宋" w:hAnsi="仿宋" w:eastAsia="仿宋" w:cs="仿宋"/>
          <w:sz w:val="28"/>
          <w:highlight w:val="none"/>
        </w:rPr>
        <w:t xml:space="preserve">系统规定的时间内对投标文件进行解密。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22.2开标仪式由代理机构组织。苏</w:t>
      </w:r>
      <w:r>
        <w:rPr>
          <w:rFonts w:ascii="仿宋" w:hAnsi="仿宋" w:eastAsia="仿宋" w:cs="仿宋"/>
          <w:sz w:val="28"/>
          <w:highlight w:val="none"/>
        </w:rPr>
        <w:t xml:space="preserve">采云</w:t>
      </w:r>
      <w:r>
        <w:rPr>
          <w:rFonts w:ascii="仿宋" w:hAnsi="仿宋" w:eastAsia="仿宋" w:cs="仿宋"/>
          <w:sz w:val="28"/>
          <w:highlight w:val="none"/>
        </w:rPr>
        <w:t xml:space="preserve">系统将自动对项目进行开标，并宣布各投标人名称和投标价格。</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22.3投标人在开标过程中涉及到的投标文件解密、开标结果确认等工作，应按照《操作手册》规定执行。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22.4投标人如果对开标过程和开标记录有疑义，应当根据《操作手册》规定提出，如苏</w:t>
      </w:r>
      <w:r>
        <w:rPr>
          <w:rFonts w:ascii="仿宋" w:hAnsi="仿宋" w:eastAsia="仿宋" w:cs="仿宋"/>
          <w:sz w:val="28"/>
          <w:highlight w:val="none"/>
        </w:rPr>
        <w:t xml:space="preserve">采云</w:t>
      </w:r>
      <w:r>
        <w:rPr>
          <w:rFonts w:ascii="仿宋" w:hAnsi="仿宋" w:eastAsia="仿宋" w:cs="仿宋"/>
          <w:sz w:val="28"/>
          <w:highlight w:val="none"/>
        </w:rPr>
        <w:t xml:space="preserve">系统中《开标记录表》宣布后5分钟内未提出的，视同认可开标结果。</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23、评标委员会</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23.1开标后，代理机构将立即组织评标委员会（以下简称评委会）进行评标。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23.2 评委会由采购人代表和有关技术、经济等方面的专家组成，</w:t>
      </w:r>
      <w:r>
        <w:rPr>
          <w:rFonts w:ascii="仿宋" w:hAnsi="仿宋" w:eastAsia="仿宋" w:cs="仿宋"/>
          <w:sz w:val="28"/>
          <w:highlight w:val="none"/>
        </w:rPr>
        <w:t xml:space="preserve">且人员</w:t>
      </w:r>
      <w:r>
        <w:rPr>
          <w:rFonts w:ascii="仿宋" w:hAnsi="仿宋" w:eastAsia="仿宋" w:cs="仿宋"/>
          <w:sz w:val="28"/>
          <w:highlight w:val="none"/>
        </w:rPr>
        <w:t xml:space="preserve">构成符合政府采购有关规定。</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23.3评委会独立工作，负责评审所有投标文件并确定中标</w:t>
      </w:r>
      <w:r>
        <w:rPr>
          <w:rFonts w:ascii="仿宋" w:hAnsi="仿宋" w:eastAsia="仿宋" w:cs="仿宋"/>
          <w:sz w:val="28"/>
          <w:highlight w:val="none"/>
        </w:rPr>
        <w:t xml:space="preserve">侯选人</w:t>
      </w:r>
      <w:r>
        <w:rPr>
          <w:rFonts w:ascii="仿宋" w:hAnsi="仿宋" w:eastAsia="仿宋" w:cs="仿宋"/>
          <w:sz w:val="28"/>
          <w:highlight w:val="none"/>
        </w:rPr>
        <w:t xml:space="preserve">。</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24．评标过程的保密与公正</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24.1凡是与审查、澄清、评价和比较投标的有关资料以及授标建议等，采购人、评委、代理机构均不得向投标人或与评标无关的其他人员透露。</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24.2在评标过程中，投标人不得以任何行为影响评标过程，否则其投标文件将被作为无效投标文件。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24.3代理机构和评标委员会不向未中标的投标人解释未中标原因，也不公布评标过程中的相关细节。</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24.4 采用综合评分法的项目，未中标的投标人可于中标结果公告期限届满之日起通过苏</w:t>
      </w:r>
      <w:r>
        <w:rPr>
          <w:rFonts w:ascii="仿宋" w:hAnsi="仿宋" w:eastAsia="仿宋" w:cs="仿宋"/>
          <w:sz w:val="28"/>
          <w:highlight w:val="none"/>
        </w:rPr>
        <w:t xml:space="preserve">采云</w:t>
      </w:r>
      <w:r>
        <w:rPr>
          <w:rFonts w:ascii="仿宋" w:hAnsi="仿宋" w:eastAsia="仿宋" w:cs="仿宋"/>
          <w:sz w:val="28"/>
          <w:highlight w:val="none"/>
        </w:rPr>
        <w:t xml:space="preserve">系统查看自己的评审得分及排序情况。</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25．投标文件的澄清</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25.1评标期间，评委会对投标文件中含义不明确、同类问题表述不一致或者有明显文字和计算错误的内容，有权要求投标人</w:t>
      </w:r>
      <w:r>
        <w:rPr>
          <w:rFonts w:ascii="仿宋" w:hAnsi="仿宋" w:eastAsia="仿宋" w:cs="仿宋"/>
          <w:sz w:val="28"/>
          <w:highlight w:val="none"/>
        </w:rPr>
        <w:t xml:space="preserve">作出</w:t>
      </w:r>
      <w:r>
        <w:rPr>
          <w:rFonts w:ascii="仿宋" w:hAnsi="仿宋" w:eastAsia="仿宋" w:cs="仿宋"/>
          <w:sz w:val="28"/>
          <w:highlight w:val="none"/>
        </w:rPr>
        <w:t xml:space="preserve">必要的澄清、说明或者补正。</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投标人的澄清、说明或者补正不得超出投标文件的范围或者改变投标文件的实质性内容。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评标委员会并非对每个投标人都做澄清要求。</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25.2需要供应商进行澄清、说明和补正的，评委会将通过苏</w:t>
      </w:r>
      <w:r>
        <w:rPr>
          <w:rFonts w:ascii="仿宋" w:hAnsi="仿宋" w:eastAsia="仿宋" w:cs="仿宋"/>
          <w:sz w:val="28"/>
          <w:highlight w:val="none"/>
        </w:rPr>
        <w:t xml:space="preserve">采云</w:t>
      </w:r>
      <w:r>
        <w:rPr>
          <w:rFonts w:ascii="仿宋" w:hAnsi="仿宋" w:eastAsia="仿宋" w:cs="仿宋"/>
          <w:sz w:val="28"/>
          <w:highlight w:val="none"/>
        </w:rPr>
        <w:t xml:space="preserve">系统向供应商发出“澄清要求函”，接到“澄清要求函”的投标人应当按照要求在苏</w:t>
      </w:r>
      <w:r>
        <w:rPr>
          <w:rFonts w:ascii="仿宋" w:hAnsi="仿宋" w:eastAsia="仿宋" w:cs="仿宋"/>
          <w:sz w:val="28"/>
          <w:highlight w:val="none"/>
        </w:rPr>
        <w:t xml:space="preserve">采云</w:t>
      </w:r>
      <w:r>
        <w:rPr>
          <w:rFonts w:ascii="仿宋" w:hAnsi="仿宋" w:eastAsia="仿宋" w:cs="仿宋"/>
          <w:sz w:val="28"/>
          <w:highlight w:val="none"/>
        </w:rPr>
        <w:t xml:space="preserve">系统中提交“澄清响应函”并加盖CA电子公章。澄清、说明和补正的内容作为投标文件的补充部分，具体操作方式见《操作手册》。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25.3 接到评委会澄清、说明和补正要求的投标人如未按规定做出澄清、说明和补正，其风险由投标人自行承担。</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26、对投标文件的初审</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26.1投标文件初审分为资格审查和符合性审查。</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26.1.1 资格审查：依据法律法规和招标文件的规定，由采购人对投标文件中的资格证明文件进行审查。资格审查的结论，采购人以书面形式向评委会进行反馈。</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采购人在进行资格性审查的同时，将在“信用中国”网站（www.creditchina.gov.cn）查询投标人的信用记录，以确定投标人是否具备投标资格,查询结果留存并归档。</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26.1.2 符合性审查：依据招标文件的规定，由评委会从投标文件的有效性、完整性和对招标文件的响应程度进行审查，以确定是否对招标文件的实质性要求</w:t>
      </w:r>
      <w:r>
        <w:rPr>
          <w:rFonts w:ascii="仿宋" w:hAnsi="仿宋" w:eastAsia="仿宋" w:cs="仿宋"/>
          <w:sz w:val="28"/>
          <w:highlight w:val="none"/>
        </w:rPr>
        <w:t xml:space="preserve">作出</w:t>
      </w:r>
      <w:r>
        <w:rPr>
          <w:rFonts w:ascii="仿宋" w:hAnsi="仿宋" w:eastAsia="仿宋" w:cs="仿宋"/>
          <w:sz w:val="28"/>
          <w:highlight w:val="none"/>
        </w:rPr>
        <w:t xml:space="preserve">响应。</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26.1.3 未通过资格审查或符合性审查的投标人，代理机构将在苏</w:t>
      </w:r>
      <w:r>
        <w:rPr>
          <w:rFonts w:ascii="仿宋" w:hAnsi="仿宋" w:eastAsia="仿宋" w:cs="仿宋"/>
          <w:b/>
          <w:sz w:val="28"/>
          <w:highlight w:val="none"/>
        </w:rPr>
        <w:t xml:space="preserve">采云</w:t>
      </w:r>
      <w:r>
        <w:rPr>
          <w:rFonts w:ascii="仿宋" w:hAnsi="仿宋" w:eastAsia="仿宋" w:cs="仿宋"/>
          <w:b/>
          <w:sz w:val="28"/>
          <w:highlight w:val="none"/>
        </w:rPr>
        <w:t xml:space="preserve">系统中告知未通过资格审查或符合性审查的原因，评审结束后，代理机构将不再告知未通过资格审查或符合性审查的原因。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w:t>
      </w:r>
      <w:r>
        <w:rPr>
          <w:rFonts w:ascii="仿宋" w:hAnsi="仿宋" w:eastAsia="仿宋" w:cs="仿宋"/>
          <w:sz w:val="28"/>
          <w:highlight w:val="none"/>
        </w:rPr>
        <w:t xml:space="preserve">质性响应要求的投标人的竞争地位产生不公正的影响。重大偏离的认定需经过评委会以少数服从多数的原则</w:t>
      </w:r>
      <w:r>
        <w:rPr>
          <w:rFonts w:ascii="仿宋" w:hAnsi="仿宋" w:eastAsia="仿宋" w:cs="仿宋"/>
          <w:sz w:val="28"/>
          <w:highlight w:val="none"/>
        </w:rPr>
        <w:t xml:space="preserve">作出</w:t>
      </w:r>
      <w:r>
        <w:rPr>
          <w:rFonts w:ascii="仿宋" w:hAnsi="仿宋" w:eastAsia="仿宋" w:cs="仿宋"/>
          <w:sz w:val="28"/>
          <w:highlight w:val="none"/>
        </w:rPr>
        <w:t xml:space="preserve">结论。评委决定投标文件的</w:t>
      </w:r>
      <w:r>
        <w:rPr>
          <w:rFonts w:ascii="仿宋" w:hAnsi="仿宋" w:eastAsia="仿宋" w:cs="仿宋"/>
          <w:sz w:val="28"/>
          <w:highlight w:val="none"/>
        </w:rPr>
        <w:t xml:space="preserve">响应性只根据</w:t>
      </w:r>
      <w:r>
        <w:rPr>
          <w:rFonts w:ascii="仿宋" w:hAnsi="仿宋" w:eastAsia="仿宋" w:cs="仿宋"/>
          <w:sz w:val="28"/>
          <w:highlight w:val="none"/>
        </w:rPr>
        <w:t xml:space="preserve">投标文件本身的内容，而不寻求外部的证据。</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26.4评委会将对确定为实质性响应的投标进行进一步审核，看其是否有计算上或累加上的算术错误，修正错误的原则如下：</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（1）投标文件中开标一览表内容与投标文件中相应内容不一致的，以开标一览表为准。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（2）大写金额和小写金额不一致的，以大写金额为准。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（3）单价金额小数点或者百分比有明显错位的，以开标一览表的总价为准，并修改单价。</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（4）总价金额与按单价汇总金额不一致的，以单价金额计算结果为准。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同时出现两种以上错误的，按照前款规定的顺序修正。</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26.5评委会将按上述修正错误的方法调整投标文件中的投标报价，并通过苏</w:t>
      </w:r>
      <w:r>
        <w:rPr>
          <w:rFonts w:ascii="仿宋" w:hAnsi="仿宋" w:eastAsia="仿宋" w:cs="仿宋"/>
          <w:sz w:val="28"/>
          <w:highlight w:val="none"/>
        </w:rPr>
        <w:t xml:space="preserve">采云</w:t>
      </w:r>
      <w:r>
        <w:rPr>
          <w:rFonts w:ascii="仿宋" w:hAnsi="仿宋" w:eastAsia="仿宋" w:cs="仿宋"/>
          <w:sz w:val="28"/>
          <w:highlight w:val="none"/>
        </w:rPr>
        <w:t xml:space="preserve">系统告知投标人，调整后的价格应对投标人具有约束力。如果投标人不接受修正后的价格，则其投标将被拒绝。</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w:t>
      </w:r>
      <w:r>
        <w:rPr>
          <w:rFonts w:ascii="仿宋" w:hAnsi="仿宋" w:eastAsia="仿宋" w:cs="仿宋"/>
          <w:sz w:val="28"/>
          <w:highlight w:val="none"/>
        </w:rPr>
        <w:t xml:space="preserve">定的方式（招标文件未规定的通过随机抽取的方式）确定一个参加评标的投标人，其他投标无效。</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非单一产品采购项目，招标文件中将载明其中的核心产品。多家投标人提供的核心产品品牌相同的，按前两款规定处理。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26.7投标人在开、评标全过程中应保持通讯畅通，及时登录苏</w:t>
      </w:r>
      <w:r>
        <w:rPr>
          <w:rFonts w:ascii="仿宋" w:hAnsi="仿宋" w:eastAsia="仿宋" w:cs="仿宋"/>
          <w:sz w:val="28"/>
          <w:highlight w:val="none"/>
        </w:rPr>
        <w:t xml:space="preserve">采云</w:t>
      </w:r>
      <w:r>
        <w:rPr>
          <w:rFonts w:ascii="仿宋" w:hAnsi="仿宋" w:eastAsia="仿宋" w:cs="仿宋"/>
          <w:sz w:val="28"/>
          <w:highlight w:val="none"/>
        </w:rPr>
        <w:t xml:space="preserve">系统查阅、答复相关信息，并安排专人与代理机构及评标委员会联系。</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27、无效投标条款</w:t>
      </w:r>
      <w:r>
        <w:rPr>
          <w:rFonts w:ascii="仿宋" w:hAnsi="仿宋" w:eastAsia="仿宋" w:cs="仿宋"/>
          <w:sz w:val="28"/>
          <w:highlight w:val="none"/>
        </w:rPr>
        <w:t xml:space="preserve">和废标条款</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27.1无效投标条款</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 投标人在苏</w:t>
      </w:r>
      <w:r>
        <w:rPr>
          <w:rFonts w:ascii="仿宋" w:hAnsi="仿宋" w:eastAsia="仿宋" w:cs="仿宋"/>
          <w:sz w:val="28"/>
          <w:highlight w:val="none"/>
        </w:rPr>
        <w:t xml:space="preserve">采云</w:t>
      </w:r>
      <w:r>
        <w:rPr>
          <w:rFonts w:ascii="仿宋" w:hAnsi="仿宋" w:eastAsia="仿宋" w:cs="仿宋"/>
          <w:sz w:val="28"/>
          <w:highlight w:val="none"/>
        </w:rPr>
        <w:t xml:space="preserve">系统规定的时间内未成功解密电子投标文件的。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27.1.2 投标人未按照招标文件要求上传电子投标文件的。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27.1.3投标人同一分包提交两个（含两个）以上不同的投标报价的。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27.1.4投标人不具备招标文件中规定资格要求的。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27.1.5投标人的报价超过了采购预算或最高限价的。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27.1.6未通过符合性审查的。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27.1.7不符合招标文件中规定的实质性要求的（详见本招标文件第四章采购需求中标有“★”的</w:t>
      </w:r>
      <w:r>
        <w:rPr>
          <w:rFonts w:hint="eastAsia" w:ascii="仿宋" w:hAnsi="仿宋" w:eastAsia="仿宋" w:cs="仿宋"/>
          <w:sz w:val="28"/>
          <w:highlight w:val="none"/>
        </w:rPr>
        <w:t xml:space="preserve">技术要求及相关商务要求</w:t>
      </w:r>
      <w:r>
        <w:rPr>
          <w:rFonts w:ascii="仿宋" w:hAnsi="仿宋" w:eastAsia="仿宋" w:cs="仿宋"/>
          <w:sz w:val="28"/>
          <w:highlight w:val="none"/>
        </w:rPr>
        <w:t xml:space="preserve">）。</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27.1.8 投标人被 “信用中国”网站（www.creditchina.gov.cn）</w:t>
      </w:r>
      <w:r>
        <w:rPr>
          <w:rFonts w:hint="eastAsia" w:ascii="仿宋" w:hAnsi="仿宋" w:eastAsia="仿宋" w:cs="仿宋"/>
          <w:sz w:val="28"/>
          <w:highlight w:val="none"/>
        </w:rPr>
        <w:t xml:space="preserve">、中国政府采购网（</w:t>
      </w:r>
      <w:r>
        <w:rPr>
          <w:rFonts w:ascii="仿宋" w:hAnsi="仿宋" w:eastAsia="仿宋" w:cs="仿宋"/>
          <w:sz w:val="28"/>
          <w:highlight w:val="none"/>
        </w:rPr>
        <w:t xml:space="preserve">www.ccgp.gov.cn</w:t>
      </w:r>
      <w:r>
        <w:rPr>
          <w:rFonts w:hint="eastAsia" w:ascii="仿宋" w:hAnsi="仿宋" w:eastAsia="仿宋" w:cs="仿宋"/>
          <w:sz w:val="28"/>
          <w:highlight w:val="none"/>
        </w:rPr>
        <w:t xml:space="preserve">）</w:t>
      </w:r>
      <w:r>
        <w:rPr>
          <w:rFonts w:ascii="仿宋" w:hAnsi="仿宋" w:eastAsia="仿宋" w:cs="仿宋"/>
          <w:sz w:val="28"/>
          <w:highlight w:val="none"/>
        </w:rPr>
        <w:t xml:space="preserve">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27.1.9  投标文件含有采购人不能接受的附加条件的。</w:t>
      </w:r>
      <w:r>
        <w:rPr>
          <w:highlight w:val="none"/>
        </w:rPr>
      </w:r>
      <w:r>
        <w:rPr>
          <w:highlight w:val="none"/>
        </w:rPr>
      </w:r>
    </w:p>
    <w:p>
      <w:pPr>
        <w:jc w:val="both"/>
        <w:spacing w:line="479" w:lineRule="atLeast"/>
        <w:rPr>
          <w:rFonts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27.1.10</w:t>
      </w:r>
      <w:r>
        <w:rPr>
          <w:rFonts w:hint="eastAsia" w:ascii="仿宋" w:hAnsi="仿宋" w:eastAsia="仿宋" w:cs="仿宋"/>
          <w:color w:val="ff0000"/>
          <w:sz w:val="28"/>
          <w:highlight w:val="none"/>
        </w:rPr>
        <w:t xml:space="preserve">评审过程中出现下列情形之一的，评审委员会应当启动异常低价投标（响应）审查程序：（</w:t>
      </w:r>
      <w:r>
        <w:rPr>
          <w:rFonts w:ascii="仿宋" w:hAnsi="仿宋" w:eastAsia="仿宋" w:cs="仿宋"/>
          <w:color w:val="ff0000"/>
          <w:sz w:val="28"/>
          <w:highlight w:val="none"/>
        </w:rPr>
        <w:t xml:space="preserve">1</w:t>
      </w:r>
      <w:r>
        <w:rPr>
          <w:rFonts w:hint="eastAsia" w:ascii="仿宋" w:hAnsi="仿宋" w:eastAsia="仿宋" w:cs="仿宋"/>
          <w:color w:val="ff0000"/>
          <w:sz w:val="28"/>
          <w:highlight w:val="none"/>
        </w:rPr>
        <w:t xml:space="preserve">）投标（响应）报价低于采购项目预算</w:t>
      </w:r>
      <w:r>
        <w:rPr>
          <w:rFonts w:ascii="仿宋" w:hAnsi="仿宋" w:eastAsia="仿宋" w:cs="仿宋"/>
          <w:color w:val="ff0000"/>
          <w:sz w:val="28"/>
          <w:highlight w:val="none"/>
        </w:rPr>
        <w:t xml:space="preserve">50% </w:t>
      </w:r>
      <w:r>
        <w:rPr>
          <w:rFonts w:hint="eastAsia" w:ascii="仿宋" w:hAnsi="仿宋" w:eastAsia="仿宋" w:cs="仿宋"/>
          <w:color w:val="ff0000"/>
          <w:sz w:val="28"/>
          <w:highlight w:val="none"/>
        </w:rPr>
        <w:t xml:space="preserve">的，即投标（响应）报价＜采购项目预算×</w:t>
      </w:r>
      <w:r>
        <w:rPr>
          <w:rFonts w:ascii="仿宋" w:hAnsi="仿宋" w:eastAsia="仿宋" w:cs="仿宋"/>
          <w:color w:val="ff0000"/>
          <w:sz w:val="28"/>
          <w:highlight w:val="none"/>
        </w:rPr>
        <w:t xml:space="preserve">50% </w:t>
      </w:r>
      <w:r>
        <w:rPr>
          <w:rFonts w:hint="eastAsia" w:ascii="仿宋" w:hAnsi="仿宋" w:eastAsia="仿宋" w:cs="仿宋"/>
          <w:color w:val="ff0000"/>
          <w:sz w:val="28"/>
          <w:highlight w:val="none"/>
        </w:rPr>
        <w:t xml:space="preserve">；（</w:t>
      </w:r>
      <w:r>
        <w:rPr>
          <w:rFonts w:ascii="仿宋" w:hAnsi="仿宋" w:eastAsia="仿宋" w:cs="仿宋"/>
          <w:color w:val="ff0000"/>
          <w:sz w:val="28"/>
          <w:highlight w:val="none"/>
        </w:rPr>
        <w:t xml:space="preserve">2</w:t>
      </w:r>
      <w:r>
        <w:rPr>
          <w:rFonts w:hint="eastAsia" w:ascii="仿宋" w:hAnsi="仿宋" w:eastAsia="仿宋" w:cs="仿宋"/>
          <w:color w:val="ff0000"/>
          <w:sz w:val="28"/>
          <w:highlight w:val="none"/>
        </w:rPr>
        <w:t xml:space="preserve">）投标（响应）报价低于采购项目最高限价</w:t>
      </w:r>
      <w:r>
        <w:rPr>
          <w:rFonts w:ascii="仿宋" w:hAnsi="仿宋" w:eastAsia="仿宋" w:cs="仿宋"/>
          <w:color w:val="ff0000"/>
          <w:sz w:val="28"/>
          <w:highlight w:val="none"/>
        </w:rPr>
        <w:t xml:space="preserve">45% </w:t>
      </w:r>
      <w:r>
        <w:rPr>
          <w:rFonts w:hint="eastAsia" w:ascii="仿宋" w:hAnsi="仿宋" w:eastAsia="仿宋" w:cs="仿宋"/>
          <w:color w:val="ff0000"/>
          <w:sz w:val="28"/>
          <w:highlight w:val="none"/>
        </w:rPr>
        <w:t xml:space="preserve">的，即投标（响应）报价＜采购项目最高限价×</w:t>
      </w:r>
      <w:r>
        <w:rPr>
          <w:rFonts w:ascii="仿宋" w:hAnsi="仿宋" w:eastAsia="仿宋" w:cs="仿宋"/>
          <w:color w:val="ff0000"/>
          <w:sz w:val="28"/>
          <w:highlight w:val="none"/>
        </w:rPr>
        <w:t xml:space="preserve">45% </w:t>
      </w:r>
      <w:r>
        <w:rPr>
          <w:rFonts w:hint="eastAsia" w:ascii="仿宋" w:hAnsi="仿宋" w:eastAsia="仿宋" w:cs="仿宋"/>
          <w:color w:val="ff0000"/>
          <w:sz w:val="28"/>
          <w:highlight w:val="none"/>
        </w:rPr>
        <w:t xml:space="preserve">；（</w:t>
      </w:r>
      <w:r>
        <w:rPr>
          <w:rFonts w:ascii="仿宋" w:hAnsi="仿宋" w:eastAsia="仿宋" w:cs="仿宋"/>
          <w:color w:val="ff0000"/>
          <w:sz w:val="28"/>
          <w:highlight w:val="none"/>
        </w:rPr>
        <w:t xml:space="preserve">3</w:t>
      </w:r>
      <w:r>
        <w:rPr>
          <w:rFonts w:hint="eastAsia" w:ascii="仿宋" w:hAnsi="仿宋" w:eastAsia="仿宋" w:cs="仿宋"/>
          <w:color w:val="ff0000"/>
          <w:sz w:val="28"/>
          <w:highlight w:val="none"/>
        </w:rPr>
        <w:t xml:space="preserve">）评审委员会认定的供应商报价过低、有可能影响产品质量或者不能诚信履约的其他情形。</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仿宋"/>
          <w:color w:val="ff0000"/>
          <w:sz w:val="28"/>
          <w:highlight w:val="none"/>
        </w:rPr>
        <w:t xml:space="preserve">作出</w:t>
      </w:r>
      <w:r>
        <w:rPr>
          <w:rFonts w:hint="eastAsia" w:ascii="仿宋" w:hAnsi="仿宋" w:eastAsia="仿宋" w:cs="仿宋"/>
          <w:color w:val="ff0000"/>
          <w:sz w:val="28"/>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w:t>
      </w:r>
      <w:r>
        <w:rPr>
          <w:rFonts w:hint="eastAsia" w:ascii="仿宋" w:hAnsi="仿宋" w:eastAsia="仿宋" w:cs="仿宋"/>
          <w:color w:val="ff0000"/>
          <w:sz w:val="28"/>
          <w:highlight w:val="none"/>
        </w:rPr>
        <w:t xml:space="preserve">说明、证明材料不能证明其报价合理性的，评审委员会应当将其作为无效投标（响应）处理。审查相关情况应当在评审报告中进行记录。</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27.1.11 本项目采购产品被财政部、</w:t>
      </w:r>
      <w:r>
        <w:rPr>
          <w:rFonts w:ascii="仿宋" w:hAnsi="仿宋" w:eastAsia="仿宋" w:cs="仿宋"/>
          <w:sz w:val="28"/>
          <w:highlight w:val="none"/>
        </w:rPr>
        <w:t xml:space="preserve">国家发改委</w:t>
      </w:r>
      <w:r>
        <w:rPr>
          <w:rFonts w:ascii="仿宋" w:hAnsi="仿宋" w:eastAsia="仿宋" w:cs="仿宋"/>
          <w:sz w:val="28"/>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27.1.12 投标文件未按照招标文件要求加盖CA电子公章的。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27.1.13其他法律、法规及本招标文件规定的属无效投标的情形。</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27.1.14投标人的商务技术部分得分相差异常悬殊，评标委员会一致认为得分</w:t>
      </w:r>
      <w:r>
        <w:rPr>
          <w:rFonts w:ascii="仿宋" w:hAnsi="仿宋" w:eastAsia="仿宋" w:cs="仿宋"/>
          <w:sz w:val="28"/>
          <w:highlight w:val="none"/>
        </w:rPr>
        <w:t xml:space="preserve">畸</w:t>
      </w:r>
      <w:r>
        <w:rPr>
          <w:rFonts w:ascii="仿宋" w:hAnsi="仿宋" w:eastAsia="仿宋" w:cs="仿宋"/>
          <w:sz w:val="28"/>
          <w:highlight w:val="none"/>
        </w:rPr>
        <w:t xml:space="preserve">低者有可能影响产品质量或者不能诚信履约的。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w:t>
      </w:r>
      <w:r>
        <w:rPr>
          <w:rFonts w:ascii="仿宋" w:hAnsi="仿宋" w:eastAsia="仿宋" w:cs="仿宋"/>
          <w:sz w:val="28"/>
          <w:highlight w:val="none"/>
        </w:rPr>
        <w:t xml:space="preserve">废标条款</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27.2.1符合专业条件的供应商或者对招标文件作实质响应的供应商不足三家的。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27.2.2出现影响采购公正的违法、违规行为的。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27.2.3因重大变故，采购任务取消的。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27.2.4评标委员会认定招标文件存在歧义、重大缺陷导致评审工作无法进行。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27.2.5 因苏</w:t>
      </w:r>
      <w:r>
        <w:rPr>
          <w:rFonts w:ascii="仿宋" w:hAnsi="仿宋" w:eastAsia="仿宋" w:cs="仿宋"/>
          <w:sz w:val="28"/>
          <w:highlight w:val="none"/>
        </w:rPr>
        <w:t xml:space="preserve">采云</w:t>
      </w:r>
      <w:r>
        <w:rPr>
          <w:rFonts w:ascii="仿宋" w:hAnsi="仿宋" w:eastAsia="仿宋" w:cs="仿宋"/>
          <w:sz w:val="28"/>
          <w:highlight w:val="none"/>
        </w:rPr>
        <w:t xml:space="preserve">系统系统故障原因造成开标不成功的。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 投标截止时间结束后参加投标的供应商不足三家的处理：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27.3.1如出现投标截止时间结束后参加投标的供应商或者在评标期间对招标文件做出实质响应的供应商不足三家情况，按政府采购相关规定执行。</w:t>
      </w:r>
      <w:r>
        <w:rPr>
          <w:highlight w:val="none"/>
        </w:rPr>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六、定标</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28、确定中标单位</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28.1中标候选人的选取原则和数量见招标文件第五章规定。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28.2 采购人应根据评委会推荐的中标候选人确定中标人。</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28.3 代理机构将在“江苏政府采购网”发布中标公告，公告期限为1个工作日。</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 若有充分证据证明，中标人出现下列情况之一的，一经查实，将被取消中标资格：</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28.4.1提供虚假材料谋取中标的。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28.4.2向采购人、代理机构行贿或者提供其他不正当利益的。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28.4.3属于本文件规定的无效条件，但在评标过程中又未被评委会发现的。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28.4.4与采购人或者其他供应商恶意串通的。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28.4.5采取不正当手段诋毁、排挤其他供应商的。</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 有下列情形之一的，视为投标人串通投标，投标无效：</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28.5.1不同投标人的投标文件由同一单位或者个人编制；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28.5.2不同投标人委托同一单位或者个人办理投标事宜；</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28.5.3 不同投标人的投标文件载明的项目管理成员或者联系人员为同一人；</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28.5.4不同投标人的投标文件异常一致或者投标报价呈规律性差异；</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29、质疑处理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29.1 提出质疑的供应商应当是参与所质疑项目采购活动的供应商。潜在供应</w:t>
      </w:r>
      <w:r>
        <w:rPr>
          <w:rFonts w:ascii="仿宋" w:hAnsi="仿宋" w:eastAsia="仿宋" w:cs="仿宋"/>
          <w:sz w:val="28"/>
          <w:highlight w:val="none"/>
        </w:rPr>
        <w:t xml:space="preserve">商依法</w:t>
      </w:r>
      <w:r>
        <w:rPr>
          <w:rFonts w:ascii="仿宋" w:hAnsi="仿宋" w:eastAsia="仿宋" w:cs="仿宋"/>
          <w:sz w:val="28"/>
          <w:highlight w:val="none"/>
        </w:rPr>
        <w:t xml:space="preserve">获取其可质疑的采购文件的，可以对采购文件提出质疑。</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r>
        <w:rPr>
          <w:highlight w:val="none"/>
        </w:rPr>
      </w:r>
    </w:p>
    <w:p>
      <w:pPr>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29.2.1对可以质疑的采购文件提出质疑的，为收到采购文件之日或者采购文件公告期限届满之日；</w:t>
      </w:r>
      <w:r>
        <w:rPr>
          <w:rFonts w:ascii="仿宋" w:hAnsi="仿宋" w:eastAsia="仿宋" w:cs="仿宋"/>
          <w:sz w:val="28"/>
          <w:highlight w:val="none"/>
        </w:rPr>
        <w:br/>
        <w:t xml:space="preserve">29.2.2对采购过程提出质疑的，为各采购程序环节结束之日；</w:t>
      </w:r>
      <w:r>
        <w:rPr>
          <w:rFonts w:ascii="仿宋" w:hAnsi="仿宋" w:eastAsia="仿宋" w:cs="仿宋"/>
          <w:sz w:val="28"/>
          <w:highlight w:val="none"/>
        </w:rPr>
        <w:br/>
        <w:t xml:space="preserve">29.2.3对中标或者成交结果提出质疑的，为中标或者成交结果公告期限届满之日。</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供应商应当在法定质疑期内一次性提出针对同一采购程序环节的质疑。供应商如在法定期限内对同一采购程序环节提出多次质疑的，代理机构、采购人将只对供应商第一次质疑</w:t>
      </w:r>
      <w:r>
        <w:rPr>
          <w:rFonts w:ascii="仿宋" w:hAnsi="仿宋" w:eastAsia="仿宋" w:cs="仿宋"/>
          <w:sz w:val="28"/>
          <w:highlight w:val="none"/>
        </w:rPr>
        <w:t xml:space="preserve">作出</w:t>
      </w:r>
      <w:r>
        <w:rPr>
          <w:rFonts w:ascii="仿宋" w:hAnsi="仿宋" w:eastAsia="仿宋" w:cs="仿宋"/>
          <w:sz w:val="28"/>
          <w:highlight w:val="none"/>
        </w:rPr>
        <w:t xml:space="preserve">答复。</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29.3质疑</w:t>
      </w:r>
      <w:r>
        <w:rPr>
          <w:rFonts w:ascii="仿宋" w:hAnsi="仿宋" w:eastAsia="仿宋" w:cs="仿宋"/>
          <w:sz w:val="28"/>
          <w:highlight w:val="none"/>
        </w:rPr>
        <w:t xml:space="preserve">函必须</w:t>
      </w:r>
      <w:r>
        <w:rPr>
          <w:rFonts w:ascii="仿宋" w:hAnsi="仿宋" w:eastAsia="仿宋" w:cs="仿宋"/>
          <w:sz w:val="28"/>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采购人及代理机构只接收以纸质原件形式送达的质疑,建议供应商尽量通过邮寄方式提交质疑（采购人和代理机构不接受无快递</w:t>
      </w:r>
      <w:r>
        <w:rPr>
          <w:rFonts w:ascii="仿宋" w:hAnsi="仿宋" w:eastAsia="仿宋" w:cs="仿宋"/>
          <w:sz w:val="28"/>
          <w:highlight w:val="none"/>
        </w:rPr>
        <w:t xml:space="preserve">运单号</w:t>
      </w:r>
      <w:r>
        <w:rPr>
          <w:rFonts w:ascii="仿宋" w:hAnsi="仿宋" w:eastAsia="仿宋" w:cs="仿宋"/>
          <w:sz w:val="28"/>
          <w:highlight w:val="none"/>
        </w:rPr>
        <w:t xml:space="preserve">的快递）。</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采购人质疑接收人及联系方式见招标文件第一章。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 以下情形的质疑不予受理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29.5.1 内容不符合《政府采购质疑和投诉办法》第十二条规定的质疑。</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29.5.2 超出政府采购法定期限的质疑。</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29.5.3 以传真、电子邮件等方式递交的非原件形式的质疑。</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29.5.4 未参加投标活动的供应商或在投标活动中自身权益未受到损害的供应商所提出的质疑。</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29.5.5供应商组成联合体参加投标，联合体中任何一方或多方未按要求签字、盖章、加盖公章的质疑。</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30、中标通知书</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30.l中标结果确定后，代理机构将向中标人发出中标通知书。请中标人在中标结果公告届满之日起30日内,使用CA数字证书登录苏</w:t>
      </w:r>
      <w:r>
        <w:rPr>
          <w:rFonts w:ascii="仿宋" w:hAnsi="仿宋" w:eastAsia="仿宋" w:cs="仿宋"/>
          <w:sz w:val="28"/>
          <w:highlight w:val="none"/>
        </w:rPr>
        <w:t xml:space="preserve">采云</w:t>
      </w:r>
      <w:r>
        <w:rPr>
          <w:rFonts w:ascii="仿宋" w:hAnsi="仿宋" w:eastAsia="仿宋" w:cs="仿宋"/>
          <w:sz w:val="28"/>
          <w:highlight w:val="none"/>
        </w:rPr>
        <w:t xml:space="preserve">系统及时下载中标通知书。因系统存储空间有限，自中标结果公告届满之日起30日后，苏</w:t>
      </w:r>
      <w:r>
        <w:rPr>
          <w:rFonts w:ascii="仿宋" w:hAnsi="仿宋" w:eastAsia="仿宋" w:cs="仿宋"/>
          <w:sz w:val="28"/>
          <w:highlight w:val="none"/>
        </w:rPr>
        <w:t xml:space="preserve">采云</w:t>
      </w:r>
      <w:r>
        <w:rPr>
          <w:rFonts w:ascii="仿宋" w:hAnsi="仿宋" w:eastAsia="仿宋" w:cs="仿宋"/>
          <w:sz w:val="28"/>
          <w:highlight w:val="none"/>
        </w:rPr>
        <w:t xml:space="preserve">系统不再保证提供下载中标通知书服务,因未及时下载而造成的不利后果由中标人自行承担。</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七、授予合同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签订合同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31.l中标人应当在中标通知书发出之日起三十日内，按照招标文件确定的事项与采购人签订政府采购合同。</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31.2招标文件、中标人的投标文件及招标过程中有关澄清、承诺文件均应作为合同附件。</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31.3 签订合同后，</w:t>
      </w:r>
      <w:r>
        <w:rPr>
          <w:rFonts w:ascii="仿宋" w:hAnsi="仿宋" w:eastAsia="仿宋" w:cs="仿宋"/>
          <w:sz w:val="28"/>
          <w:highlight w:val="none"/>
          <w:u w:val="single"/>
        </w:rPr>
        <w:t xml:space="preserve">中标人不得将合同标的进行转包</w:t>
      </w:r>
      <w:r>
        <w:rPr>
          <w:rFonts w:ascii="仿宋" w:hAnsi="仿宋" w:eastAsia="仿宋" w:cs="仿宋"/>
          <w:sz w:val="28"/>
          <w:highlight w:val="none"/>
        </w:rPr>
        <w:t xml:space="preserve">。未经采购人同意，中标人也不得采用分包的形式履行合同，否则采购人有权终止合同。转包或分包造成采购人损失的，中标人应承担相应赔偿责任。</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32、货物（包含与货物相关的服务）的追加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32.1政府采购合同履行中，采购人需追加与合同标的相同的货物（包含与货物相关的服务）的，在不改变合同其他条款的前提下，</w:t>
      </w:r>
      <w:r>
        <w:rPr>
          <w:rFonts w:ascii="仿宋" w:hAnsi="仿宋" w:eastAsia="仿宋" w:cs="仿宋"/>
          <w:sz w:val="28"/>
          <w:highlight w:val="none"/>
        </w:rPr>
        <w:t xml:space="preserve">可以与中标人协商签订补充合同，但所有补充合同的采购金额不超过原合同金额10%。</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33、政府采购履约资金扶持政策</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根据《关于深入开展南通市政府采购线上合同信用融资工作的通知》（</w:t>
      </w:r>
      <w:r>
        <w:rPr>
          <w:rFonts w:ascii="仿宋" w:hAnsi="仿宋" w:eastAsia="仿宋" w:cs="仿宋"/>
          <w:sz w:val="28"/>
          <w:highlight w:val="none"/>
        </w:rPr>
        <w:t xml:space="preserve">通财购〔2022〕</w:t>
      </w:r>
      <w:r>
        <w:rPr>
          <w:rFonts w:ascii="仿宋" w:hAnsi="仿宋" w:eastAsia="仿宋" w:cs="仿宋"/>
          <w:sz w:val="28"/>
          <w:highlight w:val="none"/>
        </w:rPr>
        <w:t xml:space="preserve">68号），对政府采购中标供应商提出“政采贷”融资申请的，采购人应当依法按时在“苏</w:t>
      </w:r>
      <w:r>
        <w:rPr>
          <w:rFonts w:ascii="仿宋" w:hAnsi="仿宋" w:eastAsia="仿宋" w:cs="仿宋"/>
          <w:sz w:val="28"/>
          <w:highlight w:val="none"/>
        </w:rPr>
        <w:t xml:space="preserve">采云</w:t>
      </w:r>
      <w:r>
        <w:rPr>
          <w:rFonts w:ascii="仿宋" w:hAnsi="仿宋" w:eastAsia="仿宋" w:cs="仿宋"/>
          <w:sz w:val="28"/>
          <w:highlight w:val="none"/>
        </w:rPr>
        <w:t xml:space="preserve">”系统中录入并公开政府采购合同信息，</w:t>
      </w:r>
      <w:r>
        <w:rPr>
          <w:rFonts w:ascii="仿宋" w:hAnsi="仿宋" w:eastAsia="仿宋" w:cs="仿宋"/>
          <w:sz w:val="28"/>
          <w:highlight w:val="none"/>
        </w:rPr>
        <w:t xml:space="preserve">勾选“融资贷款”</w:t>
      </w:r>
      <w:r>
        <w:rPr>
          <w:rFonts w:ascii="仿宋" w:hAnsi="仿宋" w:eastAsia="仿宋" w:cs="仿宋"/>
          <w:sz w:val="28"/>
          <w:highlight w:val="none"/>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ascii="仿宋" w:hAnsi="仿宋" w:eastAsia="仿宋" w:cs="仿宋"/>
          <w:sz w:val="28"/>
          <w:highlight w:val="none"/>
        </w:rPr>
        <w:t xml:space="preserve">政采贷</w:t>
      </w:r>
      <w:r>
        <w:rPr>
          <w:rFonts w:ascii="仿宋" w:hAnsi="仿宋" w:eastAsia="仿宋" w:cs="仿宋"/>
          <w:sz w:val="28"/>
          <w:highlight w:val="none"/>
        </w:rPr>
        <w:t xml:space="preserve">专栏</w:t>
      </w:r>
      <w:r>
        <w:rPr>
          <w:highlight w:val="none"/>
        </w:rPr>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0"/>
        <w:jc w:val="center"/>
        <w:rPr>
          <w:rFonts w:ascii="宋体" w:hAnsi="宋体" w:eastAsia="宋体" w:cs="宋体"/>
          <w:b/>
          <w:bCs/>
          <w:highlight w:val="none"/>
        </w:rPr>
      </w:pPr>
      <w:r>
        <w:rPr>
          <w:rFonts w:hint="eastAsia" w:ascii="宋体" w:hAnsi="宋体" w:eastAsia="宋体" w:cs="宋体"/>
          <w:b/>
          <w:bCs/>
          <w:highlight w:val="none"/>
        </w:rPr>
        <w:t xml:space="preserve">第三章  合同文本</w:t>
      </w:r>
      <w:r>
        <w:rPr>
          <w:highlight w:val="none"/>
        </w:rPr>
      </w:r>
      <w:r>
        <w:rPr>
          <w:highlight w:val="none"/>
        </w:rPr>
      </w:r>
    </w:p>
    <w:p>
      <w:pPr>
        <w:rPr>
          <w:rFonts w:ascii="仿宋" w:hAnsi="仿宋" w:eastAsia="仿宋" w:cs="仿宋"/>
          <w:sz w:val="28"/>
          <w:highlight w:val="none"/>
        </w:rPr>
      </w:pPr>
      <w:r>
        <w:rPr>
          <w:rFonts w:hint="eastAsia" w:ascii="仿宋" w:hAnsi="仿宋" w:eastAsia="仿宋" w:cs="仿宋"/>
          <w:sz w:val="28"/>
          <w:highlight w:val="none"/>
        </w:rPr>
        <w:t xml:space="preserve">以下为中标后</w:t>
      </w:r>
      <w:r>
        <w:rPr>
          <w:rFonts w:hint="eastAsia" w:ascii="仿宋" w:hAnsi="仿宋" w:eastAsia="仿宋" w:cs="仿宋"/>
          <w:sz w:val="28"/>
          <w:highlight w:val="none"/>
        </w:rPr>
        <w:t xml:space="preserve">签定</w:t>
      </w:r>
      <w:r>
        <w:rPr>
          <w:rFonts w:hint="eastAsia" w:ascii="仿宋" w:hAnsi="仿宋" w:eastAsia="仿宋" w:cs="仿宋"/>
          <w:sz w:val="28"/>
          <w:highlight w:val="none"/>
        </w:rPr>
        <w:t xml:space="preserve">本项目合同的通用条款，采购人与中标人应按此签订采购合同。中标人不得提出实质性的修改，关于专用条款将由采购人与中标人结合本项目具体情况协商后签订。</w:t>
      </w:r>
      <w:r>
        <w:rPr>
          <w:highlight w:val="none"/>
        </w:rPr>
      </w:r>
      <w:r>
        <w:rPr>
          <w:highlight w:val="none"/>
        </w:rPr>
      </w:r>
    </w:p>
    <w:p>
      <w:pPr>
        <w:pStyle w:val="815"/>
        <w:jc w:val="center"/>
        <w:spacing w:line="360" w:lineRule="auto"/>
        <w:rPr>
          <w:rFonts w:ascii="宋体" w:hAnsi="宋体" w:cs="宋体"/>
          <w:b/>
          <w:bCs/>
          <w:spacing w:val="-20"/>
          <w:sz w:val="48"/>
          <w:szCs w:val="48"/>
          <w:highlight w:val="none"/>
        </w:rPr>
      </w:pPr>
      <w:r>
        <w:rPr>
          <w:rFonts w:ascii="宋体" w:hAnsi="宋体" w:cs="宋体"/>
          <w:b/>
          <w:bCs/>
          <w:spacing w:val="-20"/>
          <w:sz w:val="48"/>
          <w:szCs w:val="48"/>
          <w:highlight w:val="none"/>
        </w:rPr>
      </w:r>
      <w:r>
        <w:rPr>
          <w:highlight w:val="none"/>
        </w:rPr>
      </w:r>
      <w:r>
        <w:rPr>
          <w:highlight w:val="none"/>
        </w:rPr>
      </w:r>
    </w:p>
    <w:p>
      <w:pPr>
        <w:pStyle w:val="815"/>
        <w:jc w:val="center"/>
        <w:spacing w:line="360" w:lineRule="auto"/>
        <w:rPr>
          <w:rFonts w:ascii="宋体" w:hAnsi="宋体" w:cs="宋体"/>
          <w:b/>
          <w:bCs/>
          <w:spacing w:val="-20"/>
          <w:sz w:val="48"/>
          <w:szCs w:val="48"/>
          <w:highlight w:val="none"/>
        </w:rPr>
      </w:pPr>
      <w:r>
        <w:rPr>
          <w:rFonts w:ascii="宋体" w:hAnsi="宋体" w:cs="宋体"/>
          <w:b/>
          <w:bCs/>
          <w:spacing w:val="-20"/>
          <w:sz w:val="48"/>
          <w:szCs w:val="48"/>
          <w:highlight w:val="none"/>
        </w:rPr>
      </w:r>
      <w:r>
        <w:rPr>
          <w:highlight w:val="none"/>
        </w:rPr>
      </w:r>
      <w:r>
        <w:rPr>
          <w:highlight w:val="none"/>
        </w:rPr>
      </w:r>
    </w:p>
    <w:p>
      <w:pPr>
        <w:pStyle w:val="815"/>
        <w:jc w:val="center"/>
        <w:spacing w:line="360" w:lineRule="auto"/>
        <w:rPr>
          <w:rFonts w:ascii="宋体" w:hAnsi="宋体" w:cs="宋体"/>
          <w:b/>
          <w:bCs/>
          <w:spacing w:val="-20"/>
          <w:sz w:val="48"/>
          <w:szCs w:val="48"/>
          <w:highlight w:val="none"/>
        </w:rPr>
      </w:pPr>
      <w:r>
        <w:rPr>
          <w:rFonts w:ascii="宋体" w:hAnsi="宋体" w:cs="宋体"/>
          <w:b/>
          <w:bCs/>
          <w:spacing w:val="-20"/>
          <w:sz w:val="48"/>
          <w:szCs w:val="48"/>
          <w:highlight w:val="none"/>
        </w:rPr>
      </w:r>
      <w:r>
        <w:rPr>
          <w:highlight w:val="none"/>
        </w:rPr>
      </w:r>
      <w:r>
        <w:rPr>
          <w:highlight w:val="none"/>
        </w:rPr>
      </w:r>
    </w:p>
    <w:p>
      <w:pPr>
        <w:pStyle w:val="815"/>
        <w:jc w:val="center"/>
        <w:spacing w:line="360" w:lineRule="auto"/>
        <w:rPr>
          <w:rFonts w:ascii="宋体" w:hAnsi="宋体" w:cs="宋体"/>
          <w:b/>
          <w:bCs/>
          <w:spacing w:val="-20"/>
          <w:sz w:val="48"/>
          <w:szCs w:val="48"/>
          <w:highlight w:val="none"/>
        </w:rPr>
      </w:pPr>
      <w:r>
        <w:rPr>
          <w:rFonts w:ascii="宋体" w:hAnsi="宋体" w:cs="宋体"/>
          <w:b/>
          <w:bCs/>
          <w:spacing w:val="-20"/>
          <w:sz w:val="48"/>
          <w:szCs w:val="48"/>
          <w:highlight w:val="none"/>
        </w:rPr>
      </w:r>
      <w:r>
        <w:rPr>
          <w:highlight w:val="none"/>
        </w:rPr>
      </w:r>
      <w:r>
        <w:rPr>
          <w:highlight w:val="none"/>
        </w:rPr>
      </w:r>
    </w:p>
    <w:p>
      <w:pPr>
        <w:pStyle w:val="815"/>
        <w:jc w:val="center"/>
        <w:spacing w:line="360"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r>
        <w:rPr>
          <w:highlight w:val="none"/>
        </w:rPr>
      </w:r>
    </w:p>
    <w:p>
      <w:pPr>
        <w:spacing w:line="360" w:lineRule="auto"/>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rPr>
          <w:highlight w:val="none"/>
        </w:rPr>
      </w:r>
      <w:r>
        <w:rPr>
          <w:highlight w:val="none"/>
        </w:rPr>
      </w:r>
    </w:p>
    <w:p>
      <w:pPr>
        <w:spacing w:line="360" w:lineRule="auto"/>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rPr>
          <w:highlight w:val="none"/>
        </w:rPr>
      </w:r>
      <w:r>
        <w:rPr>
          <w:highlight w:val="none"/>
        </w:rPr>
      </w:r>
    </w:p>
    <w:p>
      <w:pPr>
        <w:spacing w:line="360" w:lineRule="auto"/>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rPr>
          <w:highlight w:val="none"/>
        </w:rPr>
      </w:r>
      <w:r>
        <w:rPr>
          <w:highlight w:val="none"/>
        </w:rPr>
      </w:r>
    </w:p>
    <w:p>
      <w:pPr>
        <w:ind w:left="400"/>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u w:val="single"/>
        </w:rPr>
        <w:t xml:space="preserve">                             </w:t>
      </w:r>
      <w:r>
        <w:rPr>
          <w:highlight w:val="none"/>
        </w:rPr>
      </w:r>
      <w:r>
        <w:rPr>
          <w:highlight w:val="none"/>
        </w:rPr>
      </w:r>
    </w:p>
    <w:p>
      <w:pPr>
        <w:ind w:left="400"/>
        <w:spacing w:line="360" w:lineRule="auto"/>
        <w:rPr>
          <w:rFonts w:ascii="宋体" w:hAnsi="宋体" w:eastAsia="宋体" w:cs="宋体"/>
          <w:sz w:val="32"/>
          <w:szCs w:val="32"/>
          <w:highlight w:val="none"/>
          <w:u w:val="single"/>
        </w:rPr>
      </w:pPr>
      <w:r>
        <w:rPr>
          <w:rFonts w:hint="eastAsia" w:ascii="宋体" w:hAnsi="宋体" w:eastAsia="宋体" w:cs="宋体"/>
          <w:sz w:val="32"/>
          <w:szCs w:val="32"/>
          <w:highlight w:val="none"/>
        </w:rPr>
        <w:t xml:space="preserve">合同编号：</w:t>
      </w:r>
      <w:r>
        <w:rPr>
          <w:rFonts w:hint="eastAsia" w:ascii="宋体" w:hAnsi="宋体" w:eastAsia="宋体" w:cs="宋体"/>
          <w:sz w:val="32"/>
          <w:szCs w:val="32"/>
          <w:highlight w:val="none"/>
          <w:u w:val="single"/>
        </w:rPr>
        <w:t xml:space="preserve">                             </w:t>
      </w:r>
      <w:r>
        <w:rPr>
          <w:highlight w:val="none"/>
        </w:rPr>
      </w:r>
      <w:r>
        <w:rPr>
          <w:highlight w:val="none"/>
        </w:rPr>
      </w:r>
    </w:p>
    <w:p>
      <w:pPr>
        <w:ind w:left="400"/>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甲    方：</w:t>
      </w:r>
      <w:r>
        <w:rPr>
          <w:rFonts w:hint="eastAsia" w:ascii="宋体" w:hAnsi="宋体" w:eastAsia="宋体" w:cs="宋体"/>
          <w:sz w:val="32"/>
          <w:szCs w:val="32"/>
          <w:highlight w:val="none"/>
          <w:u w:val="single"/>
        </w:rPr>
        <w:t xml:space="preserve">                             </w:t>
      </w:r>
      <w:r>
        <w:rPr>
          <w:highlight w:val="none"/>
        </w:rPr>
      </w:r>
      <w:r>
        <w:rPr>
          <w:highlight w:val="none"/>
        </w:rPr>
      </w:r>
    </w:p>
    <w:p>
      <w:pPr>
        <w:ind w:left="400"/>
        <w:spacing w:line="360" w:lineRule="auto"/>
        <w:rPr>
          <w:rFonts w:ascii="宋体" w:hAnsi="宋体" w:eastAsia="宋体" w:cs="宋体"/>
          <w:sz w:val="32"/>
          <w:szCs w:val="32"/>
          <w:highlight w:val="none"/>
          <w:u w:val="single"/>
        </w:rPr>
      </w:pPr>
      <w:r>
        <w:rPr>
          <w:rFonts w:hint="eastAsia" w:ascii="宋体" w:hAnsi="宋体" w:eastAsia="宋体" w:cs="宋体"/>
          <w:sz w:val="32"/>
          <w:szCs w:val="32"/>
          <w:highlight w:val="none"/>
        </w:rPr>
        <w:t xml:space="preserve">乙    方：</w:t>
      </w:r>
      <w:r>
        <w:rPr>
          <w:rFonts w:hint="eastAsia" w:ascii="宋体" w:hAnsi="宋体" w:eastAsia="宋体" w:cs="宋体"/>
          <w:sz w:val="32"/>
          <w:szCs w:val="32"/>
          <w:highlight w:val="none"/>
          <w:u w:val="single"/>
        </w:rPr>
        <w:t xml:space="preserve">                             </w:t>
      </w:r>
      <w:r>
        <w:rPr>
          <w:highlight w:val="none"/>
        </w:rPr>
      </w:r>
      <w:r>
        <w:rPr>
          <w:highlight w:val="none"/>
        </w:rPr>
      </w:r>
    </w:p>
    <w:p>
      <w:pPr>
        <w:ind w:left="400"/>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签订时间：</w:t>
      </w:r>
      <w:r>
        <w:rPr>
          <w:rFonts w:hint="eastAsia" w:ascii="宋体" w:hAnsi="宋体" w:eastAsia="宋体" w:cs="宋体"/>
          <w:sz w:val="32"/>
          <w:szCs w:val="32"/>
          <w:highlight w:val="none"/>
          <w:u w:val="single"/>
        </w:rPr>
        <w:t xml:space="preserve">                             </w:t>
      </w:r>
      <w:r>
        <w:rPr>
          <w:highlight w:val="none"/>
        </w:rPr>
      </w:r>
      <w:r>
        <w:rPr>
          <w:highlight w:val="none"/>
        </w:rPr>
      </w:r>
    </w:p>
    <w:p>
      <w:pPr>
        <w:rPr>
          <w:rFonts w:ascii="宋体" w:hAnsi="宋体" w:eastAsia="宋体" w:cs="宋体"/>
          <w:highlight w:val="none"/>
        </w:rPr>
      </w:pPr>
      <w:r>
        <w:rPr>
          <w:rFonts w:hint="eastAsia" w:ascii="宋体" w:hAnsi="宋体" w:eastAsia="宋体" w:cs="宋体"/>
          <w:highlight w:val="none"/>
        </w:rPr>
        <w:br w:type="page" w:clear="all"/>
      </w:r>
      <w:r>
        <w:rPr>
          <w:highlight w:val="none"/>
        </w:rPr>
      </w:r>
      <w:r>
        <w:rPr>
          <w:highlight w:val="none"/>
        </w:rPr>
      </w:r>
    </w:p>
    <w:p>
      <w:pPr>
        <w:jc w:val="cente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使 用 说 明</w:t>
      </w:r>
      <w:r>
        <w:rPr>
          <w:highlight w:val="none"/>
        </w:rPr>
      </w:r>
      <w:r>
        <w:rPr>
          <w:highlight w:val="none"/>
        </w:rPr>
      </w:r>
    </w:p>
    <w:p>
      <w:pPr>
        <w:ind w:firstLine="400"/>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1.本合同标准文本适用于购买现成货物的采购项目，不包括需要供应商定制开发、创新研发的货物采购项目。</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2.本合同标准文本为政府采购货物买卖合同编制提供参考，可以结合采购项目具体情况，对文本作必要的调整修订后使用。</w:t>
      </w:r>
      <w:r>
        <w:rPr>
          <w:highlight w:val="none"/>
        </w:rPr>
      </w:r>
      <w:r>
        <w:rPr>
          <w:highlight w:val="none"/>
        </w:rPr>
      </w:r>
    </w:p>
    <w:p>
      <w:pPr>
        <w:ind w:firstLine="400"/>
        <w:spacing w:line="360" w:lineRule="auto"/>
        <w:rPr>
          <w:rFonts w:ascii="宋体" w:hAnsi="宋体" w:eastAsia="宋体" w:cs="宋体"/>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highlight w:val="none"/>
        </w:rPr>
        <w:t xml:space="preserve">3.本合同标准文本各条款中，如涉及填写多家供应商、制造商，多种采购标的、分包主要内容等信息的，可根据采购项目具体情况添加信息项。</w:t>
      </w:r>
      <w:r>
        <w:rPr>
          <w:highlight w:val="none"/>
        </w:rPr>
      </w:r>
      <w:r>
        <w:rPr>
          <w:highlight w:val="none"/>
        </w:rPr>
      </w:r>
    </w:p>
    <w:p>
      <w:pPr>
        <w:jc w:val="center"/>
        <w:spacing w:line="360" w:lineRule="auto"/>
        <w:rPr>
          <w:rFonts w:ascii="宋体" w:hAnsi="宋体" w:eastAsia="宋体" w:cs="宋体"/>
          <w:b/>
          <w:bCs/>
          <w:sz w:val="28"/>
          <w:szCs w:val="28"/>
          <w:highlight w:val="none"/>
        </w:rPr>
        <w:outlineLvl w:val="1"/>
      </w:pPr>
      <w:r>
        <w:rPr>
          <w:highlight w:val="none"/>
        </w:rPr>
      </w:r>
      <w:bookmarkStart w:id="2" w:name="_Toc22209"/>
      <w:r>
        <w:rPr>
          <w:highlight w:val="none"/>
        </w:rPr>
      </w:r>
      <w:bookmarkStart w:id="3" w:name="_Toc5843"/>
      <w:r>
        <w:rPr>
          <w:rFonts w:hint="eastAsia" w:ascii="宋体" w:hAnsi="宋体" w:eastAsia="宋体" w:cs="宋体"/>
          <w:b/>
          <w:bCs/>
          <w:sz w:val="28"/>
          <w:szCs w:val="28"/>
          <w:highlight w:val="none"/>
        </w:rPr>
        <w:t xml:space="preserve">第一节 政府采购合同协议书</w:t>
      </w:r>
      <w:bookmarkEnd w:id="2"/>
      <w:r>
        <w:rPr>
          <w:highlight w:val="none"/>
        </w:rPr>
      </w:r>
      <w:bookmarkEnd w:id="3"/>
      <w:r>
        <w:rPr>
          <w:highlight w:val="none"/>
        </w:rPr>
      </w:r>
      <w:r>
        <w:rPr>
          <w:highlight w:val="none"/>
        </w:rPr>
      </w:r>
    </w:p>
    <w:p>
      <w:pPr>
        <w:jc w:val="center"/>
        <w:spacing w:line="360" w:lineRule="auto"/>
        <w:rPr>
          <w:rFonts w:ascii="宋体" w:hAnsi="宋体" w:eastAsia="宋体" w:cs="宋体"/>
          <w:sz w:val="28"/>
          <w:szCs w:val="28"/>
          <w:highlight w:val="none"/>
        </w:rPr>
      </w:pPr>
      <w:r>
        <w:rPr>
          <w:rFonts w:ascii="宋体" w:hAnsi="宋体" w:eastAsia="宋体" w:cs="宋体"/>
          <w:sz w:val="28"/>
          <w:szCs w:val="28"/>
          <w:highlight w:val="none"/>
        </w:rPr>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甲方（全称）：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（采购人、受采购人委托签订合同的单位或采购</w:t>
      </w:r>
      <w:r>
        <w:rPr>
          <w:rFonts w:hint="eastAsia" w:ascii="宋体" w:hAnsi="宋体" w:eastAsia="宋体" w:cs="宋体"/>
          <w:szCs w:val="21"/>
          <w:highlight w:val="none"/>
        </w:rPr>
        <w:tab/>
        <w:t xml:space="preserve">                             文件约定的合同甲方）</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乙方1（全称）：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乙方2（全称）：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highlight w:val="none"/>
        </w:rPr>
        <w:t xml:space="preserve">乙方</w:t>
      </w:r>
      <w:r>
        <w:rPr>
          <w:rFonts w:hint="eastAsia" w:ascii="宋体" w:hAnsi="宋体" w:eastAsia="宋体" w:cs="宋体"/>
          <w:szCs w:val="21"/>
          <w:highlight w:val="none"/>
        </w:rPr>
        <w:t xml:space="preserve">3</w:t>
      </w:r>
      <w:r>
        <w:rPr>
          <w:rFonts w:hint="eastAsia" w:ascii="宋体" w:hAnsi="宋体" w:eastAsia="宋体" w:cs="宋体"/>
          <w:highlight w:val="none"/>
        </w:rPr>
        <w:t xml:space="preserve">（全称）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rPr>
          <w:highlight w:val="none"/>
        </w:rPr>
      </w:r>
      <w:r>
        <w:rPr>
          <w:highlight w:val="none"/>
        </w:rPr>
      </w:r>
    </w:p>
    <w:p>
      <w:pPr>
        <w:spacing w:line="360" w:lineRule="auto"/>
        <w:rPr>
          <w:rFonts w:ascii="宋体" w:hAnsi="宋体" w:eastAsia="宋体" w:cs="宋体"/>
          <w:highlight w:val="none"/>
        </w:rPr>
      </w:pPr>
      <w:r>
        <w:rPr>
          <w:rFonts w:ascii="宋体" w:hAnsi="宋体" w:eastAsia="宋体" w:cs="宋体"/>
          <w:highlight w:val="none"/>
        </w:rPr>
      </w:r>
      <w:r>
        <w:rPr>
          <w:highlight w:val="none"/>
        </w:rPr>
      </w:r>
      <w:r>
        <w:rPr>
          <w:highlight w:val="none"/>
        </w:rPr>
      </w:r>
    </w:p>
    <w:p>
      <w:pPr>
        <w:pStyle w:val="816"/>
        <w:ind w:left="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szCs w:val="21"/>
          <w:highlight w:val="none"/>
        </w:rPr>
        <w:t xml:space="preserve">   </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rPr>
      </w:pPr>
      <w:r>
        <w:rPr>
          <w:highlight w:val="none"/>
        </w:rPr>
      </w:r>
      <w:bookmarkStart w:id="4" w:name="_Toc11608"/>
      <w:r>
        <w:rPr>
          <w:rFonts w:hint="eastAsia" w:ascii="宋体" w:hAnsi="宋体" w:eastAsia="宋体" w:cs="宋体"/>
          <w:b/>
          <w:szCs w:val="21"/>
          <w:highlight w:val="none"/>
        </w:rPr>
        <w:t xml:space="preserve">项目信息</w:t>
      </w:r>
      <w:bookmarkEnd w:id="4"/>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1）采购项目名称：                                          </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（2）采购项目编号：                                          </w:t>
      </w:r>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szCs w:val="21"/>
          <w:highlight w:val="none"/>
        </w:rPr>
        <w:t xml:space="preserve">（3）采购计划编号：</w:t>
      </w:r>
      <w:r>
        <w:rPr>
          <w:rFonts w:hint="eastAsia" w:ascii="宋体" w:hAnsi="宋体" w:eastAsia="宋体" w:cs="宋体"/>
          <w:bCs/>
          <w:szCs w:val="21"/>
          <w:highlight w:val="none"/>
        </w:rPr>
        <w:t xml:space="preserve">                                           </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（4）项目内容：</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采购标的及数量（台/套</w:t>
      </w:r>
      <w:r>
        <w:rPr>
          <w:rFonts w:hint="eastAsia" w:ascii="宋体" w:hAnsi="宋体" w:eastAsia="宋体" w:cs="宋体"/>
          <w:szCs w:val="21"/>
          <w:highlight w:val="none"/>
          <w:lang w:val="en"/>
        </w:rPr>
        <w:t xml:space="preserve">/</w:t>
      </w:r>
      <w:r>
        <w:rPr>
          <w:rFonts w:hint="eastAsia" w:ascii="宋体" w:hAnsi="宋体" w:eastAsia="宋体" w:cs="宋体"/>
          <w:szCs w:val="21"/>
          <w:highlight w:val="none"/>
          <w:lang w:val="en"/>
        </w:rPr>
        <w:t xml:space="preserve">个</w:t>
      </w:r>
      <w:r>
        <w:rPr>
          <w:rFonts w:hint="eastAsia" w:ascii="宋体" w:hAnsi="宋体" w:eastAsia="宋体" w:cs="宋体"/>
          <w:szCs w:val="21"/>
          <w:highlight w:val="none"/>
          <w:lang w:val="en"/>
        </w:rPr>
        <w:t xml:space="preserve">/架/组等</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en"/>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highlight w:val="none"/>
        </w:rPr>
      </w:r>
      <w:r>
        <w:rPr>
          <w:highlight w:val="none"/>
        </w:rPr>
      </w:r>
    </w:p>
    <w:p>
      <w:pPr>
        <w:ind w:firstLine="9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采购标的</w:t>
      </w:r>
      <w:r>
        <w:rPr>
          <w:rFonts w:hint="eastAsia" w:ascii="宋体" w:hAnsi="宋体" w:eastAsia="宋体" w:cs="宋体"/>
          <w:szCs w:val="21"/>
          <w:highlight w:val="none"/>
        </w:rPr>
        <w:t xml:space="preserve">的</w:t>
      </w:r>
      <w:r>
        <w:rPr>
          <w:rFonts w:hint="eastAsia" w:ascii="宋体" w:hAnsi="宋体" w:eastAsia="宋体" w:cs="宋体"/>
          <w:szCs w:val="21"/>
          <w:highlight w:val="none"/>
        </w:rPr>
        <w:t xml:space="preserve">技术要求、商务要求具体见附件。</w:t>
      </w:r>
      <w:r>
        <w:rPr>
          <w:highlight w:val="none"/>
        </w:rPr>
      </w:r>
      <w:r>
        <w:rPr>
          <w:highlight w:val="none"/>
        </w:rPr>
      </w:r>
    </w:p>
    <w:p>
      <w:pPr>
        <w:ind w:firstLine="9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①涉及信息类产品，请填写该产品关键部件的品牌、型号：</w:t>
      </w:r>
      <w:r>
        <w:rPr>
          <w:highlight w:val="none"/>
        </w:rPr>
      </w:r>
      <w:r>
        <w:rPr>
          <w:highlight w:val="none"/>
        </w:rPr>
      </w:r>
    </w:p>
    <w:p>
      <w:pPr>
        <w:ind w:firstLine="4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highlight w:val="none"/>
        </w:rPr>
      </w:r>
      <w:r>
        <w:rPr>
          <w:highlight w:val="none"/>
        </w:rPr>
      </w:r>
    </w:p>
    <w:p>
      <w:pPr>
        <w:pStyle w:val="1024"/>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rPr>
          <w:highlight w:val="none"/>
        </w:rPr>
      </w:r>
    </w:p>
    <w:p>
      <w:pPr>
        <w:pStyle w:val="1024"/>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         ②涉及车辆采购，请填写是否属于新能源汽车：</w:t>
      </w:r>
      <w:r>
        <w:rPr>
          <w:highlight w:val="none"/>
        </w:rPr>
      </w:r>
      <w:r>
        <w:rPr>
          <w:highlight w:val="none"/>
        </w:rPr>
      </w:r>
    </w:p>
    <w:p>
      <w:pPr>
        <w:pStyle w:val="1024"/>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w:t>
      </w:r>
      <w:r>
        <w:rPr>
          <w:rFonts w:hint="eastAsia" w:ascii="宋体" w:hAnsi="宋体" w:eastAsia="宋体" w:cs="宋体"/>
          <w:sz w:val="21"/>
          <w:highlight w:val="none"/>
        </w:rPr>
        <w:t xml:space="preserve">《政府采购品目分类目录》底级品目</w:t>
      </w:r>
      <w:r>
        <w:rPr>
          <w:rFonts w:hint="eastAsia" w:ascii="宋体" w:hAnsi="宋体" w:eastAsia="宋体" w:cs="宋体"/>
          <w:sz w:val="21"/>
          <w:highlight w:val="none"/>
        </w:rPr>
        <w:t xml:space="preserve">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rPr>
          <w:highlight w:val="none"/>
        </w:rPr>
      </w:r>
    </w:p>
    <w:p>
      <w:pPr>
        <w:pStyle w:val="1024"/>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r>
        <w:rPr>
          <w:highlight w:val="none"/>
        </w:rPr>
      </w:r>
    </w:p>
    <w:p>
      <w:pPr>
        <w:pStyle w:val="1024"/>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    （5）政府采购组织形式：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（6）政府采购方式：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r>
        <w:rPr>
          <w:highlight w:val="none"/>
        </w:rPr>
      </w:r>
    </w:p>
    <w:p>
      <w:pPr>
        <w:pStyle w:val="1024"/>
        <w:ind w:firstLine="420"/>
        <w:spacing w:line="360" w:lineRule="auto"/>
        <w:rPr>
          <w:rFonts w:ascii="宋体" w:hAnsi="宋体" w:eastAsia="宋体" w:cs="宋体"/>
          <w:sz w:val="21"/>
          <w:highlight w:val="none"/>
          <w:u w:val="single"/>
        </w:rPr>
      </w:pPr>
      <w:r>
        <w:rPr>
          <w:rFonts w:hint="eastAsia" w:ascii="宋体" w:hAnsi="宋体" w:eastAsia="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r>
        <w:rPr>
          <w:highlight w:val="none"/>
        </w:rPr>
      </w:r>
    </w:p>
    <w:p>
      <w:pPr>
        <w:pStyle w:val="1024"/>
        <w:ind w:firstLine="220"/>
        <w:spacing w:line="360" w:lineRule="auto"/>
        <w:rPr>
          <w:rFonts w:ascii="宋体" w:hAnsi="宋体" w:eastAsia="宋体" w:cs="宋体"/>
          <w:sz w:val="21"/>
          <w:highlight w:val="none"/>
        </w:rPr>
      </w:pPr>
      <w:r>
        <w:rPr>
          <w:rFonts w:hint="eastAsia" w:ascii="宋体" w:hAnsi="宋体" w:eastAsia="宋体" w:cs="宋体"/>
          <w:highlight w:val="none"/>
        </w:rPr>
        <w:t xml:space="preserve"> （7）</w:t>
      </w:r>
      <w:r>
        <w:rPr>
          <w:rFonts w:hint="eastAsia" w:ascii="宋体" w:hAnsi="宋体" w:eastAsia="宋体" w:cs="宋体"/>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r>
        <w:rPr>
          <w:highlight w:val="none"/>
        </w:rPr>
      </w:r>
    </w:p>
    <w:p>
      <w:pPr>
        <w:spacing w:line="360" w:lineRule="auto"/>
        <w:rPr>
          <w:rFonts w:ascii="宋体" w:hAnsi="宋体" w:eastAsia="宋体" w:cs="宋体"/>
          <w:iCs/>
          <w:szCs w:val="21"/>
          <w:highlight w:val="none"/>
        </w:rPr>
      </w:pPr>
      <w:r>
        <w:rPr>
          <w:rFonts w:hint="eastAsia" w:ascii="宋体" w:hAnsi="宋体" w:eastAsia="宋体" w:cs="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highlight w:val="none"/>
        </w:rPr>
      </w:r>
      <w:r>
        <w:rPr>
          <w:highlight w:val="none"/>
        </w:rPr>
      </w:r>
    </w:p>
    <w:p>
      <w:pPr>
        <w:spacing w:line="360" w:lineRule="auto"/>
        <w:rPr>
          <w:rFonts w:ascii="宋体" w:hAnsi="宋体" w:eastAsia="宋体" w:cs="宋体"/>
          <w:iCs/>
          <w:szCs w:val="21"/>
          <w:highlight w:val="none"/>
        </w:rPr>
      </w:pPr>
      <w:r>
        <w:rPr>
          <w:rFonts w:hint="eastAsia" w:ascii="宋体" w:hAnsi="宋体" w:eastAsia="宋体" w:cs="宋体"/>
          <w:highlight w:val="none"/>
        </w:rPr>
        <w:t xml:space="preserve">         若本项目</w:t>
      </w:r>
      <w:r>
        <w:rPr>
          <w:rFonts w:hint="eastAsia" w:ascii="宋体" w:hAnsi="宋体" w:eastAsia="宋体" w:cs="宋体"/>
          <w:highlight w:val="none"/>
        </w:rPr>
        <w:t xml:space="preserve">不</w:t>
      </w:r>
      <w:r>
        <w:rPr>
          <w:rFonts w:hint="eastAsia" w:ascii="宋体" w:hAnsi="宋体" w:eastAsia="宋体" w:cs="宋体"/>
          <w:highlight w:val="none"/>
        </w:rPr>
        <w:t xml:space="preserve">专门面向中小企业采购，是否给予小</w:t>
      </w:r>
      <w:r>
        <w:rPr>
          <w:rFonts w:hint="eastAsia" w:ascii="宋体" w:hAnsi="宋体" w:eastAsia="宋体" w:cs="宋体"/>
          <w:highlight w:val="none"/>
        </w:rPr>
        <w:t xml:space="preserve">微企业</w:t>
      </w:r>
      <w:r>
        <w:rPr>
          <w:rFonts w:hint="eastAsia" w:ascii="宋体" w:hAnsi="宋体" w:eastAsia="宋体" w:cs="宋体"/>
          <w:highlight w:val="none"/>
        </w:rPr>
        <w:t xml:space="preserve">评审优惠：</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highlight w:val="none"/>
        </w:rPr>
      </w:r>
      <w:r>
        <w:rPr>
          <w:highlight w:val="none"/>
        </w:rPr>
      </w:r>
    </w:p>
    <w:p>
      <w:pPr>
        <w:spacing w:line="360" w:lineRule="auto"/>
        <w:rPr>
          <w:rFonts w:ascii="宋体" w:hAnsi="宋体" w:eastAsia="宋体" w:cs="宋体"/>
          <w:iCs/>
          <w:szCs w:val="21"/>
          <w:highlight w:val="none"/>
        </w:rPr>
      </w:pPr>
      <w:r>
        <w:rPr>
          <w:rFonts w:hint="eastAsia" w:ascii="宋体" w:hAnsi="宋体" w:eastAsia="宋体" w:cs="宋体"/>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highlight w:val="none"/>
        </w:rPr>
      </w:r>
      <w:r>
        <w:rPr>
          <w:highlight w:val="none"/>
        </w:rPr>
      </w:r>
    </w:p>
    <w:p>
      <w:pPr>
        <w:spacing w:line="360" w:lineRule="auto"/>
        <w:rPr>
          <w:rFonts w:ascii="宋体" w:hAnsi="宋体" w:eastAsia="宋体" w:cs="宋体"/>
          <w:highlight w:val="none"/>
        </w:rPr>
      </w:pPr>
      <w:r>
        <w:rPr>
          <w:rFonts w:hint="eastAsia" w:ascii="宋体" w:hAnsi="宋体" w:eastAsia="宋体" w:cs="宋体"/>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（8）合同是否分包：</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highlight w:val="none"/>
        </w:rPr>
      </w:r>
      <w:r>
        <w:rPr>
          <w:highlight w:val="none"/>
        </w:rPr>
      </w:r>
    </w:p>
    <w:p>
      <w:pPr>
        <w:ind w:firstLine="8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 分包主要内容：</w:t>
      </w:r>
      <w:r>
        <w:rPr>
          <w:rFonts w:hint="eastAsia" w:ascii="宋体" w:hAnsi="宋体" w:eastAsia="宋体" w:cs="宋体"/>
          <w:szCs w:val="21"/>
          <w:highlight w:val="none"/>
          <w:u w:val="single"/>
        </w:rPr>
        <w:t xml:space="preserve">                                            </w:t>
      </w:r>
      <w:r>
        <w:rPr>
          <w:highlight w:val="none"/>
        </w:rPr>
      </w:r>
      <w:r>
        <w:rPr>
          <w:highlight w:val="none"/>
        </w:rPr>
      </w:r>
    </w:p>
    <w:p>
      <w:pPr>
        <w:ind w:firstLine="8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分包供应商/制造商名称（如供应商和制造商不同，请分别填写）：</w:t>
      </w:r>
      <w:r>
        <w:rPr>
          <w:highlight w:val="none"/>
        </w:rPr>
      </w:r>
      <w:r>
        <w:rPr>
          <w:highlight w:val="none"/>
        </w:rPr>
      </w:r>
    </w:p>
    <w:p>
      <w:pPr>
        <w:ind w:firstLine="8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highlight w:val="none"/>
        </w:rPr>
      </w:r>
      <w:r>
        <w:rPr>
          <w:highlight w:val="none"/>
        </w:rPr>
      </w:r>
    </w:p>
    <w:p>
      <w:pPr>
        <w:ind w:firstLine="8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分包供应商/制造商类型（如果供应商和制造商不同，只填写制造商类型）：</w:t>
      </w:r>
      <w:r>
        <w:rPr>
          <w:highlight w:val="none"/>
        </w:rPr>
      </w:r>
      <w:r>
        <w:rPr>
          <w:highlight w:val="none"/>
        </w:rPr>
      </w:r>
    </w:p>
    <w:p>
      <w:pPr>
        <w:ind w:firstLine="800"/>
        <w:spacing w:line="360" w:lineRule="auto"/>
        <w:rPr>
          <w:rFonts w:ascii="宋体" w:hAnsi="宋体" w:eastAsia="宋体" w:cs="宋体"/>
          <w:iCs/>
          <w:szCs w:val="21"/>
          <w:highlight w:val="none"/>
        </w:rPr>
      </w:pP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小微型企业  </w:t>
      </w:r>
      <w:r>
        <w:rPr>
          <w:highlight w:val="none"/>
        </w:rPr>
      </w:r>
      <w:r>
        <w:rPr>
          <w:highlight w:val="none"/>
        </w:rPr>
      </w:r>
    </w:p>
    <w:p>
      <w:pPr>
        <w:ind w:firstLine="800"/>
        <w:spacing w:line="360" w:lineRule="auto"/>
        <w:rPr>
          <w:rFonts w:ascii="宋体" w:hAnsi="宋体" w:eastAsia="宋体" w:cs="宋体"/>
          <w:highlight w:val="none"/>
        </w:rPr>
      </w:pP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其他</w:t>
      </w:r>
      <w:r>
        <w:rPr>
          <w:highlight w:val="none"/>
        </w:rPr>
      </w:r>
      <w:r>
        <w:rPr>
          <w:highlight w:val="none"/>
        </w:rPr>
      </w:r>
    </w:p>
    <w:p>
      <w:pPr>
        <w:spacing w:line="360" w:lineRule="auto"/>
        <w:rPr>
          <w:rFonts w:ascii="宋体" w:hAnsi="宋体" w:eastAsia="宋体" w:cs="宋体"/>
          <w:iCs/>
          <w:szCs w:val="21"/>
          <w:highlight w:val="none"/>
        </w:rPr>
      </w:pPr>
      <w:r>
        <w:rPr>
          <w:rFonts w:hint="eastAsia" w:ascii="宋体" w:hAnsi="宋体" w:eastAsia="宋体" w:cs="宋体"/>
          <w:szCs w:val="21"/>
          <w:highlight w:val="none"/>
        </w:rPr>
        <w:t xml:space="preserve">    （9）中标（成交）供应商是否为外商投资企业：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highlight w:val="none"/>
        </w:rPr>
      </w:r>
      <w:r>
        <w:rPr>
          <w:highlight w:val="none"/>
        </w:rPr>
      </w:r>
    </w:p>
    <w:p>
      <w:pPr>
        <w:pStyle w:val="1024"/>
        <w:ind w:firstLine="420"/>
        <w:spacing w:line="360" w:lineRule="auto"/>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（10）是否涉及进口产品：</w:t>
      </w:r>
      <w:r>
        <w:rPr>
          <w:highlight w:val="none"/>
        </w:rPr>
      </w:r>
      <w:r>
        <w:rPr>
          <w:highlight w:val="none"/>
        </w:rPr>
      </w:r>
    </w:p>
    <w:p>
      <w:pPr>
        <w:ind w:firstLine="8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w:t>
      </w:r>
      <w:r>
        <w:rPr>
          <w:rFonts w:hint="eastAsia" w:ascii="宋体" w:hAnsi="宋体" w:eastAsia="宋体" w:cs="宋体"/>
          <w:szCs w:val="21"/>
          <w:highlight w:val="none"/>
        </w:rPr>
        <w:t xml:space="preserve">《政府采购品目分类目录》底级品目</w:t>
      </w:r>
      <w:r>
        <w:rPr>
          <w:rFonts w:hint="eastAsia" w:ascii="宋体" w:hAnsi="宋体" w:eastAsia="宋体" w:cs="宋体"/>
          <w:szCs w:val="21"/>
          <w:highlight w:val="none"/>
        </w:rPr>
        <w:t xml:space="preserve">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rPr>
          <w:highlight w:val="none"/>
        </w:rPr>
      </w:r>
      <w:r>
        <w:rPr>
          <w:highlight w:val="none"/>
        </w:rPr>
      </w:r>
    </w:p>
    <w:p>
      <w:pPr>
        <w:ind w:firstLine="8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highlight w:val="none"/>
        </w:rPr>
      </w:r>
      <w:r>
        <w:rPr>
          <w:highlight w:val="none"/>
        </w:rPr>
      </w:r>
    </w:p>
    <w:p>
      <w:pPr>
        <w:ind w:firstLine="8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highlight w:val="none"/>
        </w:rPr>
      </w:r>
      <w:r>
        <w:rPr>
          <w:highlight w:val="none"/>
        </w:rPr>
      </w:r>
    </w:p>
    <w:p>
      <w:pPr>
        <w:spacing w:line="360" w:lineRule="auto"/>
        <w:tabs>
          <w:tab w:val="left" w:pos="740" w:leader="none"/>
        </w:tabs>
        <w:rPr>
          <w:rFonts w:ascii="宋体" w:hAnsi="宋体" w:eastAsia="宋体" w:cs="宋体"/>
          <w:szCs w:val="21"/>
          <w:highlight w:val="none"/>
        </w:rPr>
      </w:pPr>
      <w:r>
        <w:rPr>
          <w:rFonts w:hint="eastAsia" w:ascii="宋体" w:hAnsi="宋体" w:eastAsia="宋体" w:cs="宋体"/>
          <w:szCs w:val="21"/>
          <w:highlight w:val="none"/>
        </w:rPr>
        <w:t xml:space="preserve">    （11）是否涉及节能产品：</w:t>
      </w:r>
      <w:r>
        <w:rPr>
          <w:highlight w:val="none"/>
        </w:rPr>
      </w:r>
      <w:r>
        <w:rPr>
          <w:highlight w:val="none"/>
        </w:rPr>
      </w:r>
    </w:p>
    <w:p>
      <w:pPr>
        <w:spacing w:line="360" w:lineRule="auto"/>
        <w:tabs>
          <w:tab w:val="left" w:pos="740" w:leader="none"/>
        </w:tabs>
        <w:rPr>
          <w:rFonts w:ascii="宋体" w:hAnsi="宋体" w:eastAsia="宋体" w:cs="宋体"/>
          <w:iCs/>
          <w:szCs w:val="21"/>
          <w:highlight w:val="non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是，《节能产品政府采购品目清单》</w:t>
      </w:r>
      <w:r>
        <w:rPr>
          <w:rFonts w:hint="eastAsia" w:ascii="宋体" w:hAnsi="宋体" w:eastAsia="宋体" w:cs="宋体"/>
          <w:szCs w:val="21"/>
          <w:highlight w:val="none"/>
        </w:rPr>
        <w:t xml:space="preserve">的底级品目</w:t>
      </w:r>
      <w:r>
        <w:rPr>
          <w:rFonts w:hint="eastAsia" w:ascii="宋体" w:hAnsi="宋体" w:eastAsia="宋体" w:cs="宋体"/>
          <w:szCs w:val="21"/>
          <w:highlight w:val="none"/>
        </w:rPr>
        <w:t xml:space="preserve">名称：</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r>
        <w:rPr>
          <w:highlight w:val="none"/>
        </w:rPr>
      </w:r>
      <w:r>
        <w:rPr>
          <w:highlight w:val="none"/>
        </w:rPr>
      </w:r>
    </w:p>
    <w:p>
      <w:pPr>
        <w:spacing w:line="360" w:lineRule="auto"/>
        <w:tabs>
          <w:tab w:val="left" w:pos="740" w:leader="none"/>
        </w:tabs>
        <w:rPr>
          <w:rFonts w:ascii="宋体" w:hAnsi="宋体" w:eastAsia="宋体" w:cs="宋体"/>
          <w:iCs/>
          <w:szCs w:val="21"/>
          <w:highlight w:val="none"/>
        </w:rPr>
      </w:pP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优先采购    </w:t>
      </w:r>
      <w:r>
        <w:rPr>
          <w:highlight w:val="none"/>
        </w:rPr>
      </w:r>
      <w:r>
        <w:rPr>
          <w:highlight w:val="none"/>
        </w:rPr>
      </w:r>
    </w:p>
    <w:p>
      <w:pPr>
        <w:spacing w:line="360" w:lineRule="auto"/>
        <w:tabs>
          <w:tab w:val="left" w:pos="740" w:leader="none"/>
        </w:tabs>
        <w:rPr>
          <w:rFonts w:ascii="宋体" w:hAnsi="宋体" w:eastAsia="宋体" w:cs="宋体"/>
          <w:szCs w:val="21"/>
          <w:highlight w:val="none"/>
        </w:rPr>
      </w:pPr>
      <w:r>
        <w:rPr>
          <w:rFonts w:hint="eastAsia" w:ascii="宋体" w:hAnsi="宋体" w:eastAsia="宋体" w:cs="宋体"/>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highlight w:val="none"/>
        </w:rPr>
      </w:r>
      <w:r>
        <w:rPr>
          <w:highlight w:val="none"/>
        </w:rPr>
      </w:r>
    </w:p>
    <w:p>
      <w:pPr>
        <w:spacing w:line="360" w:lineRule="auto"/>
        <w:tabs>
          <w:tab w:val="left" w:pos="740" w:leader="none"/>
        </w:tabs>
        <w:rPr>
          <w:rFonts w:ascii="宋体" w:hAnsi="宋体" w:eastAsia="宋体" w:cs="宋体"/>
          <w:szCs w:val="21"/>
          <w:highlight w:val="none"/>
        </w:rPr>
      </w:pPr>
      <w:r>
        <w:rPr>
          <w:rFonts w:hint="eastAsia" w:ascii="宋体" w:hAnsi="宋体" w:eastAsia="宋体" w:cs="宋体"/>
          <w:szCs w:val="21"/>
          <w:highlight w:val="none"/>
        </w:rPr>
        <w:t xml:space="preserve">          是否涉及环境标志产品：</w:t>
      </w:r>
      <w:r>
        <w:rPr>
          <w:highlight w:val="none"/>
        </w:rPr>
      </w:r>
      <w:r>
        <w:rPr>
          <w:highlight w:val="none"/>
        </w:rPr>
      </w:r>
    </w:p>
    <w:p>
      <w:pPr>
        <w:spacing w:line="360" w:lineRule="auto"/>
        <w:tabs>
          <w:tab w:val="left" w:pos="740" w:leader="none"/>
        </w:tabs>
        <w:rPr>
          <w:rFonts w:ascii="宋体" w:hAnsi="宋体" w:eastAsia="宋体" w:cs="宋体"/>
          <w:szCs w:val="21"/>
          <w:highlight w:val="non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是，《环境标志产品政府采购品目清单》</w:t>
      </w:r>
      <w:r>
        <w:rPr>
          <w:rFonts w:hint="eastAsia" w:ascii="宋体" w:hAnsi="宋体" w:eastAsia="宋体" w:cs="宋体"/>
          <w:szCs w:val="21"/>
          <w:highlight w:val="none"/>
        </w:rPr>
        <w:t xml:space="preserve">的底级品目</w:t>
      </w:r>
      <w:r>
        <w:rPr>
          <w:rFonts w:hint="eastAsia" w:ascii="宋体" w:hAnsi="宋体" w:eastAsia="宋体" w:cs="宋体"/>
          <w:szCs w:val="21"/>
          <w:highlight w:val="none"/>
        </w:rPr>
        <w:t xml:space="preserve">名称：</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r>
        <w:rPr>
          <w:highlight w:val="none"/>
        </w:rPr>
      </w:r>
      <w:r>
        <w:rPr>
          <w:highlight w:val="none"/>
        </w:rPr>
      </w:r>
    </w:p>
    <w:p>
      <w:pPr>
        <w:spacing w:line="360" w:lineRule="auto"/>
        <w:tabs>
          <w:tab w:val="left" w:pos="740" w:leader="none"/>
        </w:tabs>
        <w:rPr>
          <w:rFonts w:ascii="宋体" w:hAnsi="宋体" w:eastAsia="宋体" w:cs="宋体"/>
          <w:iCs/>
          <w:szCs w:val="21"/>
          <w:highlight w:val="none"/>
        </w:rPr>
      </w:pP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优先采购    </w:t>
      </w:r>
      <w:r>
        <w:rPr>
          <w:highlight w:val="none"/>
        </w:rPr>
      </w:r>
      <w:r>
        <w:rPr>
          <w:highlight w:val="none"/>
        </w:rPr>
      </w:r>
    </w:p>
    <w:p>
      <w:pPr>
        <w:spacing w:line="360" w:lineRule="auto"/>
        <w:tabs>
          <w:tab w:val="left" w:pos="740" w:leader="none"/>
        </w:tabs>
        <w:rPr>
          <w:rFonts w:ascii="宋体" w:hAnsi="宋体" w:eastAsia="宋体" w:cs="宋体"/>
          <w:szCs w:val="21"/>
          <w:highlight w:val="none"/>
        </w:rPr>
      </w:pPr>
      <w:r>
        <w:rPr>
          <w:rFonts w:hint="eastAsia" w:ascii="宋体" w:hAnsi="宋体" w:eastAsia="宋体" w:cs="宋体"/>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highlight w:val="none"/>
        </w:rPr>
      </w:r>
      <w:r>
        <w:rPr>
          <w:highlight w:val="none"/>
        </w:rPr>
      </w:r>
    </w:p>
    <w:p>
      <w:pPr>
        <w:pStyle w:val="1024"/>
        <w:ind w:firstLine="0"/>
        <w:spacing w:line="360" w:lineRule="auto"/>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是否涉及绿色产品： </w:t>
      </w:r>
      <w:r>
        <w:rPr>
          <w:highlight w:val="none"/>
        </w:rPr>
      </w:r>
      <w:r>
        <w:rPr>
          <w:highlight w:val="none"/>
        </w:rPr>
      </w:r>
    </w:p>
    <w:p>
      <w:pPr>
        <w:pStyle w:val="1024"/>
        <w:ind w:firstLine="420"/>
        <w:spacing w:line="360" w:lineRule="auto"/>
        <w:rPr>
          <w:rFonts w:ascii="宋体" w:hAnsi="宋体" w:eastAsia="宋体" w:cs="宋体"/>
          <w:highlight w:val="none"/>
          <w:u w:val="singl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是，绿色产品政府采购相关政策确定</w:t>
      </w:r>
      <w:r>
        <w:rPr>
          <w:rFonts w:hint="eastAsia" w:ascii="宋体" w:hAnsi="宋体" w:eastAsia="宋体" w:cs="宋体"/>
          <w:sz w:val="21"/>
          <w:highlight w:val="none"/>
        </w:rPr>
        <w:t xml:space="preserve">的底级品目</w:t>
      </w:r>
      <w:r>
        <w:rPr>
          <w:rFonts w:hint="eastAsia" w:ascii="宋体" w:hAnsi="宋体" w:eastAsia="宋体" w:cs="宋体"/>
          <w:sz w:val="21"/>
          <w:highlight w:val="none"/>
        </w:rPr>
        <w:t xml:space="preserve">名称：</w:t>
      </w:r>
      <w:r>
        <w:rPr>
          <w:rFonts w:hint="eastAsia" w:ascii="宋体" w:hAnsi="宋体" w:eastAsia="宋体" w:cs="宋体"/>
          <w:highlight w:val="none"/>
          <w:u w:val="single"/>
        </w:rPr>
        <w:t xml:space="preserve">         </w:t>
      </w:r>
      <w:r>
        <w:rPr>
          <w:highlight w:val="none"/>
        </w:rPr>
      </w:r>
      <w:r>
        <w:rPr>
          <w:highlight w:val="none"/>
        </w:rPr>
      </w:r>
    </w:p>
    <w:p>
      <w:pPr>
        <w:spacing w:line="360" w:lineRule="auto"/>
        <w:tabs>
          <w:tab w:val="left" w:pos="740" w:leader="none"/>
        </w:tabs>
        <w:rPr>
          <w:rFonts w:ascii="宋体" w:hAnsi="宋体" w:eastAsia="宋体" w:cs="宋体"/>
          <w:iCs/>
          <w:szCs w:val="21"/>
          <w:highlight w:val="none"/>
        </w:rPr>
      </w:pP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优先采购    </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（12）涉及商品包装和快递包装的，是否参考《商品包装政府采购需求标准（试行）》《快递包装政府采购需求标准（试行）》明确产品及相关快递服务的具体包装要求：</w:t>
      </w:r>
      <w:r>
        <w:rPr>
          <w:highlight w:val="none"/>
        </w:rPr>
      </w:r>
      <w:r>
        <w:rPr>
          <w:highlight w:val="none"/>
        </w:rPr>
      </w:r>
    </w:p>
    <w:p>
      <w:pPr>
        <w:ind w:firstLine="800"/>
        <w:spacing w:line="360" w:lineRule="auto"/>
        <w:rPr>
          <w:rFonts w:ascii="宋体" w:hAnsi="宋体" w:eastAsia="宋体" w:cs="宋体"/>
          <w:szCs w:val="21"/>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不涉及</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rPr>
      </w:pPr>
      <w:r>
        <w:rPr>
          <w:highlight w:val="none"/>
        </w:rPr>
      </w:r>
      <w:bookmarkStart w:id="5" w:name="_Toc18353"/>
      <w:r>
        <w:rPr>
          <w:rFonts w:hint="eastAsia" w:ascii="宋体" w:hAnsi="宋体" w:eastAsia="宋体" w:cs="宋体"/>
          <w:b/>
          <w:szCs w:val="21"/>
          <w:highlight w:val="none"/>
        </w:rPr>
        <w:t xml:space="preserve">合同金额</w:t>
      </w:r>
      <w:bookmarkEnd w:id="5"/>
      <w:r>
        <w:rPr>
          <w:highlight w:val="none"/>
        </w:rPr>
      </w:r>
      <w:r>
        <w:rPr>
          <w:highlight w:val="none"/>
        </w:rPr>
      </w:r>
    </w:p>
    <w:p>
      <w:pPr>
        <w:ind w:firstLine="4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（1）合同金额小写：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大写：</w:t>
      </w:r>
      <w:r>
        <w:rPr>
          <w:rFonts w:hint="eastAsia" w:ascii="宋体" w:hAnsi="宋体" w:eastAsia="宋体" w:cs="宋体"/>
          <w:szCs w:val="21"/>
          <w:highlight w:val="none"/>
          <w:u w:val="single"/>
        </w:rPr>
        <w:t xml:space="preserve">                           </w:t>
      </w:r>
      <w:r>
        <w:rPr>
          <w:highlight w:val="none"/>
        </w:rPr>
      </w:r>
      <w:r>
        <w:rPr>
          <w:highlight w:val="none"/>
        </w:rPr>
      </w:r>
    </w:p>
    <w:p>
      <w:pPr>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         分包金额（如有）小写：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大写：</w:t>
      </w:r>
      <w:r>
        <w:rPr>
          <w:rFonts w:hint="eastAsia" w:ascii="宋体" w:hAnsi="宋体" w:eastAsia="宋体" w:cs="宋体"/>
          <w:szCs w:val="21"/>
          <w:highlight w:val="none"/>
          <w:u w:val="single"/>
        </w:rPr>
        <w:t xml:space="preserve">                       </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（注：固定单价合同应填写单价和最高限价）</w:t>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（2）合同定价方式（采用组合定价方式的，</w:t>
      </w:r>
      <w:r>
        <w:rPr>
          <w:rFonts w:hint="eastAsia" w:ascii="宋体" w:hAnsi="宋体" w:eastAsia="宋体" w:cs="宋体"/>
          <w:szCs w:val="21"/>
          <w:highlight w:val="none"/>
        </w:rPr>
        <w:t xml:space="preserve">可以勾选多项</w:t>
      </w:r>
      <w:r>
        <w:rPr>
          <w:rFonts w:hint="eastAsia" w:ascii="宋体" w:hAnsi="宋体" w:eastAsia="宋体" w:cs="宋体"/>
          <w:szCs w:val="21"/>
          <w:highlight w:val="none"/>
        </w:rPr>
        <w:t xml:space="preserve">）：</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其他</w:t>
      </w:r>
      <w:r>
        <w:rPr>
          <w:rFonts w:hint="eastAsia" w:ascii="宋体" w:hAnsi="宋体" w:eastAsia="宋体" w:cs="宋体"/>
          <w:szCs w:val="21"/>
          <w:highlight w:val="none"/>
          <w:u w:val="single"/>
        </w:rPr>
        <w:t xml:space="preserve">       </w:t>
      </w:r>
      <w:r>
        <w:rPr>
          <w:highlight w:val="none"/>
        </w:rPr>
      </w:r>
      <w:r>
        <w:rPr>
          <w:highlight w:val="none"/>
        </w:rPr>
      </w:r>
    </w:p>
    <w:p>
      <w:pPr>
        <w:pStyle w:val="1025"/>
        <w:spacing w:line="360" w:lineRule="auto"/>
        <w:rPr>
          <w:rFonts w:ascii="宋体" w:hAnsi="宋体" w:eastAsia="宋体" w:cs="宋体"/>
          <w:highlight w:val="none"/>
        </w:rPr>
      </w:pPr>
      <w:r>
        <w:rPr>
          <w:rFonts w:hint="eastAsia" w:ascii="宋体" w:hAnsi="宋体" w:eastAsia="宋体" w:cs="宋体"/>
          <w:highlight w:val="none"/>
          <w:lang w:eastAsia="zh-CN"/>
        </w:rPr>
        <w:t xml:space="preserve">（3）付款方式（按项目</w:t>
      </w:r>
      <w:r>
        <w:rPr>
          <w:rFonts w:hint="eastAsia" w:ascii="宋体" w:hAnsi="宋体" w:eastAsia="宋体" w:cs="宋体"/>
          <w:highlight w:val="none"/>
          <w:lang w:eastAsia="zh-CN"/>
        </w:rPr>
        <w:t xml:space="preserve">实际勾选填写</w:t>
      </w:r>
      <w:r>
        <w:rPr>
          <w:rFonts w:hint="eastAsia" w:ascii="宋体" w:hAnsi="宋体" w:eastAsia="宋体" w:cs="宋体"/>
          <w:highlight w:val="none"/>
          <w:lang w:eastAsia="zh-CN"/>
        </w:rPr>
        <w:t xml:space="preserve">）：</w:t>
      </w:r>
      <w:r>
        <w:rPr>
          <w:highlight w:val="none"/>
        </w:rPr>
      </w:r>
      <w:r>
        <w:rPr>
          <w:highlight w:val="none"/>
        </w:rPr>
      </w:r>
    </w:p>
    <w:p>
      <w:pPr>
        <w:ind w:firstLine="600"/>
        <w:spacing w:line="360" w:lineRule="auto"/>
        <w:rPr>
          <w:rFonts w:ascii="宋体" w:hAnsi="宋体" w:eastAsia="宋体" w:cs="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全额付款：</w:t>
      </w:r>
      <w:r>
        <w:rPr>
          <w:rFonts w:hint="eastAsia" w:ascii="宋体" w:hAnsi="宋体" w:eastAsia="宋体" w:cs="宋体"/>
          <w:szCs w:val="21"/>
          <w:highlight w:val="none"/>
          <w:u w:val="single"/>
        </w:rPr>
        <w:t xml:space="preserve">     （应明确一次性支付合同款项的条件）                    </w:t>
      </w:r>
      <w:r>
        <w:rPr>
          <w:highlight w:val="none"/>
        </w:rPr>
      </w:r>
      <w:r>
        <w:rPr>
          <w:highlight w:val="none"/>
        </w:rPr>
      </w:r>
    </w:p>
    <w:p>
      <w:pPr>
        <w:ind w:firstLine="600"/>
        <w:spacing w:line="360" w:lineRule="auto"/>
        <w:rPr>
          <w:rFonts w:ascii="宋体" w:hAnsi="宋体" w:eastAsia="宋体" w:cs="宋体"/>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分期付款：</w:t>
      </w:r>
      <w:r>
        <w:rPr>
          <w:rFonts w:hint="eastAsia" w:ascii="宋体" w:hAnsi="宋体" w:eastAsia="宋体" w:cs="宋体"/>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szCs w:val="21"/>
          <w:highlight w:val="none"/>
        </w:rPr>
        <w:t xml:space="preserve">，其中涉及预付款的：</w:t>
      </w:r>
      <w:r>
        <w:rPr>
          <w:rFonts w:hint="eastAsia" w:ascii="宋体" w:hAnsi="宋体" w:eastAsia="宋体" w:cs="宋体"/>
          <w:szCs w:val="21"/>
          <w:highlight w:val="none"/>
          <w:u w:val="single"/>
        </w:rPr>
        <w:t xml:space="preserve"> （应明确预付款的支付比例和支付条件） </w:t>
      </w:r>
      <w:r>
        <w:rPr>
          <w:highlight w:val="none"/>
        </w:rPr>
      </w:r>
      <w:r>
        <w:rPr>
          <w:highlight w:val="none"/>
        </w:rPr>
      </w:r>
    </w:p>
    <w:p>
      <w:pPr>
        <w:ind w:firstLine="600"/>
        <w:spacing w:line="360" w:lineRule="auto"/>
        <w:rPr>
          <w:rFonts w:ascii="宋体" w:hAnsi="宋体" w:eastAsia="宋体" w:cs="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成本补偿：</w:t>
      </w:r>
      <w:r>
        <w:rPr>
          <w:rFonts w:hint="eastAsia" w:ascii="宋体" w:hAnsi="宋体" w:eastAsia="宋体" w:cs="宋体"/>
          <w:szCs w:val="21"/>
          <w:highlight w:val="none"/>
          <w:u w:val="single"/>
        </w:rPr>
        <w:t xml:space="preserve">      （应明确按照成本补偿方式的支付方式和支付条件）   </w:t>
      </w:r>
      <w:r>
        <w:rPr>
          <w:highlight w:val="none"/>
        </w:rPr>
      </w:r>
      <w:r>
        <w:rPr>
          <w:highlight w:val="none"/>
        </w:rPr>
      </w:r>
    </w:p>
    <w:p>
      <w:pPr>
        <w:ind w:firstLine="600"/>
        <w:spacing w:line="360" w:lineRule="auto"/>
        <w:rPr>
          <w:rFonts w:ascii="宋体" w:hAnsi="宋体" w:eastAsia="宋体" w:cs="宋体"/>
          <w:szCs w:val="21"/>
          <w:highlight w:val="none"/>
        </w:rPr>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绩效激励：</w:t>
      </w:r>
      <w:r>
        <w:rPr>
          <w:rFonts w:hint="eastAsia" w:ascii="宋体" w:hAnsi="宋体" w:eastAsia="宋体" w:cs="宋体"/>
          <w:szCs w:val="21"/>
          <w:highlight w:val="none"/>
          <w:u w:val="single"/>
        </w:rPr>
        <w:t xml:space="preserve">      （应明确按照绩效激励方式的支付方式和支付条件）   </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u w:val="single"/>
        </w:rPr>
      </w:pPr>
      <w:r>
        <w:rPr>
          <w:highlight w:val="none"/>
        </w:rPr>
      </w:r>
      <w:bookmarkStart w:id="6" w:name="_Toc12443"/>
      <w:r>
        <w:rPr>
          <w:rFonts w:hint="eastAsia" w:ascii="宋体" w:hAnsi="宋体" w:eastAsia="宋体" w:cs="宋体"/>
          <w:b/>
          <w:szCs w:val="21"/>
          <w:highlight w:val="none"/>
        </w:rPr>
        <w:t xml:space="preserve">合同履行</w:t>
      </w:r>
      <w:bookmarkEnd w:id="6"/>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highlight w:val="none"/>
        </w:rPr>
      </w:r>
      <w:r>
        <w:rPr>
          <w:highlight w:val="none"/>
        </w:rPr>
      </w:r>
    </w:p>
    <w:p>
      <w:pPr>
        <w:ind w:firstLine="400"/>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highlight w:val="none"/>
        </w:rPr>
      </w:r>
      <w:r>
        <w:rPr>
          <w:highlight w:val="none"/>
        </w:rPr>
      </w:r>
    </w:p>
    <w:p>
      <w:pPr>
        <w:pStyle w:val="1024"/>
        <w:spacing w:line="360" w:lineRule="auto"/>
        <w:rPr>
          <w:rFonts w:ascii="宋体" w:hAnsi="宋体" w:eastAsia="宋体" w:cs="宋体"/>
          <w:sz w:val="21"/>
          <w:highlight w:val="none"/>
        </w:rPr>
      </w:pPr>
      <w:r>
        <w:rPr>
          <w:rFonts w:hint="eastAsia" w:ascii="宋体" w:hAnsi="宋体" w:eastAsia="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rPr>
          <w:highlight w:val="none"/>
        </w:rPr>
      </w:r>
      <w:r>
        <w:rPr>
          <w:highlight w:val="none"/>
        </w:rPr>
      </w:r>
    </w:p>
    <w:p>
      <w:pPr>
        <w:ind w:firstLine="400"/>
        <w:spacing w:line="360" w:lineRule="auto"/>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rPr>
      </w:pPr>
      <w:r>
        <w:rPr>
          <w:highlight w:val="none"/>
        </w:rPr>
      </w:r>
      <w:bookmarkStart w:id="7" w:name="_Toc6378"/>
      <w:r>
        <w:rPr>
          <w:rFonts w:hint="eastAsia" w:ascii="宋体" w:hAnsi="宋体" w:eastAsia="宋体" w:cs="宋体"/>
          <w:b/>
          <w:szCs w:val="21"/>
          <w:highlight w:val="none"/>
        </w:rPr>
        <w:t xml:space="preserve">合同验收</w:t>
      </w:r>
      <w:bookmarkEnd w:id="7"/>
      <w:r>
        <w:rPr>
          <w:highlight w:val="none"/>
        </w:rPr>
      </w:r>
      <w:r>
        <w:rPr>
          <w:highlight w:val="none"/>
        </w:rPr>
      </w:r>
    </w:p>
    <w:p>
      <w:pPr>
        <w:numPr>
          <w:ilvl w:val="0"/>
          <w:numId w:val="3"/>
        </w:numPr>
        <w:ind w:firstLine="400"/>
        <w:jc w:val="both"/>
        <w:spacing w:line="360" w:lineRule="auto"/>
        <w:widowControl w:val="off"/>
        <w:rPr>
          <w:rFonts w:ascii="宋体" w:hAnsi="宋体" w:eastAsia="宋体" w:cs="宋体"/>
          <w:bCs/>
          <w:szCs w:val="21"/>
          <w:highlight w:val="none"/>
        </w:rPr>
      </w:pPr>
      <w:r>
        <w:rPr>
          <w:rFonts w:hint="eastAsia" w:ascii="宋体" w:hAnsi="宋体" w:eastAsia="宋体" w:cs="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委托第三方组织</w:t>
      </w:r>
      <w:r>
        <w:rPr>
          <w:highlight w:val="none"/>
        </w:rPr>
      </w:r>
      <w:r>
        <w:rPr>
          <w:highlight w:val="none"/>
        </w:rPr>
      </w:r>
    </w:p>
    <w:p>
      <w:pPr>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         验收主体：</w:t>
      </w:r>
      <w:r>
        <w:rPr>
          <w:rFonts w:hint="eastAsia" w:ascii="宋体" w:hAnsi="宋体" w:eastAsia="宋体" w:cs="宋体"/>
          <w:bCs/>
          <w:szCs w:val="21"/>
          <w:highlight w:val="none"/>
          <w:u w:val="single"/>
        </w:rPr>
        <w:t xml:space="preserve">                  </w:t>
      </w:r>
      <w:r>
        <w:rPr>
          <w:highlight w:val="none"/>
        </w:rPr>
      </w:r>
      <w:r>
        <w:rPr>
          <w:highlight w:val="none"/>
        </w:rPr>
      </w:r>
    </w:p>
    <w:p>
      <w:pPr>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否</w:t>
      </w:r>
      <w:r>
        <w:rPr>
          <w:highlight w:val="none"/>
        </w:rPr>
      </w:r>
      <w:r>
        <w:rPr>
          <w:highlight w:val="none"/>
        </w:rPr>
      </w:r>
    </w:p>
    <w:p>
      <w:pPr>
        <w:ind w:firstLine="8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否</w:t>
      </w:r>
      <w:r>
        <w:rPr>
          <w:highlight w:val="none"/>
        </w:rPr>
      </w:r>
      <w:r>
        <w:rPr>
          <w:highlight w:val="none"/>
        </w:rPr>
      </w:r>
    </w:p>
    <w:p>
      <w:pPr>
        <w:ind w:firstLine="8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否</w:t>
      </w:r>
      <w:r>
        <w:rPr>
          <w:highlight w:val="none"/>
        </w:rPr>
      </w:r>
      <w:r>
        <w:rPr>
          <w:highlight w:val="none"/>
        </w:rPr>
      </w:r>
    </w:p>
    <w:p>
      <w:pPr>
        <w:ind w:firstLine="8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否</w:t>
      </w:r>
      <w:r>
        <w:rPr>
          <w:highlight w:val="none"/>
        </w:rPr>
      </w:r>
      <w:r>
        <w:rPr>
          <w:highlight w:val="none"/>
        </w:rPr>
      </w:r>
    </w:p>
    <w:p>
      <w:pPr>
        <w:ind w:firstLine="8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否</w:t>
      </w:r>
      <w:r>
        <w:rPr>
          <w:highlight w:val="none"/>
        </w:rPr>
      </w:r>
      <w:r>
        <w:rPr>
          <w:highlight w:val="none"/>
        </w:rPr>
      </w:r>
    </w:p>
    <w:p>
      <w:pPr>
        <w:ind w:firstLine="800"/>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hint="eastAsia" w:ascii="宋体" w:hAnsi="宋体" w:eastAsia="宋体" w:cs="宋体"/>
          <w:bCs/>
          <w:szCs w:val="21"/>
          <w:highlight w:val="none"/>
          <w:u w:val="single"/>
        </w:rPr>
        <w:t xml:space="preserve">（应明确对被破坏的检测产品的处理方式）</w:t>
      </w:r>
      <w:r>
        <w:rPr>
          <w:highlight w:val="none"/>
        </w:rPr>
      </w:r>
      <w:r>
        <w:rPr>
          <w:highlight w:val="none"/>
        </w:rPr>
      </w:r>
    </w:p>
    <w:p>
      <w:pPr>
        <w:ind w:firstLine="8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否</w:t>
      </w:r>
      <w:r>
        <w:rPr>
          <w:highlight w:val="none"/>
        </w:rPr>
      </w:r>
      <w:r>
        <w:rPr>
          <w:highlight w:val="none"/>
        </w:rPr>
      </w:r>
    </w:p>
    <w:p>
      <w:pPr>
        <w:ind w:firstLine="800"/>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验收组织的其他事项：</w:t>
      </w:r>
      <w:r>
        <w:rPr>
          <w:rFonts w:hint="eastAsia" w:ascii="宋体" w:hAnsi="宋体" w:eastAsia="宋体" w:cs="宋体"/>
          <w:bCs/>
          <w:szCs w:val="21"/>
          <w:highlight w:val="none"/>
          <w:u w:val="single"/>
        </w:rPr>
        <w:t xml:space="preserve">                </w:t>
      </w:r>
      <w:r>
        <w:rPr>
          <w:highlight w:val="none"/>
        </w:rPr>
      </w:r>
      <w:r>
        <w:rPr>
          <w:highlight w:val="none"/>
        </w:rPr>
      </w:r>
    </w:p>
    <w:p>
      <w:pPr>
        <w:ind w:firstLine="400"/>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（2）履约验收时间：</w:t>
      </w:r>
      <w:r>
        <w:rPr>
          <w:rFonts w:hint="eastAsia" w:ascii="宋体" w:hAnsi="宋体" w:eastAsia="宋体" w:cs="宋体"/>
          <w:bCs/>
          <w:szCs w:val="21"/>
          <w:highlight w:val="none"/>
          <w:u w:val="single"/>
        </w:rPr>
        <w:t xml:space="preserve">（计划于何时验收/供应商提出验收申请之日起   日内组织验收） </w:t>
      </w:r>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一次性验收         </w:t>
      </w:r>
      <w:r>
        <w:rPr>
          <w:highlight w:val="none"/>
        </w:rPr>
      </w:r>
      <w:r>
        <w:rPr>
          <w:highlight w:val="none"/>
        </w:rPr>
      </w:r>
    </w:p>
    <w:p>
      <w:pPr>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分期/分项验收：</w:t>
      </w:r>
      <w:r>
        <w:rPr>
          <w:rFonts w:hint="eastAsia" w:ascii="宋体" w:hAnsi="宋体" w:eastAsia="宋体" w:cs="宋体"/>
          <w:bCs/>
          <w:szCs w:val="21"/>
          <w:highlight w:val="none"/>
          <w:u w:val="single"/>
        </w:rPr>
        <w:t xml:space="preserve"> （应明确分期</w:t>
      </w:r>
      <w:r>
        <w:rPr>
          <w:rFonts w:hint="eastAsia" w:ascii="宋体" w:hAnsi="宋体" w:eastAsia="宋体" w:cs="宋体"/>
          <w:bCs/>
          <w:szCs w:val="21"/>
          <w:highlight w:val="none"/>
          <w:u w:val="single"/>
          <w:lang w:val="en"/>
        </w:rPr>
        <w:t xml:space="preserve">/分项验收的工作安排</w:t>
      </w:r>
      <w:r>
        <w:rPr>
          <w:rFonts w:hint="eastAsia" w:ascii="宋体" w:hAnsi="宋体" w:eastAsia="宋体" w:cs="宋体"/>
          <w:bCs/>
          <w:szCs w:val="21"/>
          <w:highlight w:val="none"/>
          <w:u w:val="single"/>
        </w:rPr>
        <w:t xml:space="preserve">）  </w:t>
      </w:r>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（4）履约验收程序：</w:t>
      </w:r>
      <w:r>
        <w:rPr>
          <w:rFonts w:hint="eastAsia" w:ascii="宋体" w:hAnsi="宋体" w:eastAsia="宋体" w:cs="宋体"/>
          <w:bCs/>
          <w:szCs w:val="21"/>
          <w:highlight w:val="none"/>
          <w:u w:val="single"/>
        </w:rPr>
        <w:t xml:space="preserve">                                         </w:t>
      </w:r>
      <w:r>
        <w:rPr>
          <w:highlight w:val="none"/>
        </w:rPr>
      </w:r>
      <w:r>
        <w:rPr>
          <w:highlight w:val="none"/>
        </w:rPr>
      </w:r>
    </w:p>
    <w:p>
      <w:pPr>
        <w:ind w:firstLine="400"/>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（5）履约验收的内容：</w:t>
      </w:r>
      <w:r>
        <w:rPr>
          <w:rFonts w:hint="eastAsia" w:ascii="宋体" w:hAnsi="宋体" w:eastAsia="宋体" w:cs="宋体"/>
          <w:bCs/>
          <w:szCs w:val="21"/>
          <w:highlight w:val="none"/>
          <w:u w:val="single"/>
        </w:rPr>
        <w:t xml:space="preserve"> （应当包括每一项技术和商务要求的履约情况，特别是落实政府采购扶持中小企业，支持绿色发展和乡村振兴等政策情况）                                      </w:t>
      </w:r>
      <w:r>
        <w:rPr>
          <w:highlight w:val="none"/>
        </w:rPr>
      </w:r>
      <w:r>
        <w:rPr>
          <w:highlight w:val="none"/>
        </w:rPr>
      </w:r>
    </w:p>
    <w:p>
      <w:pPr>
        <w:ind w:firstLine="400"/>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（6）履约验收标准：</w:t>
      </w:r>
      <w:r>
        <w:rPr>
          <w:rFonts w:hint="eastAsia" w:ascii="宋体" w:hAnsi="宋体" w:eastAsia="宋体" w:cs="宋体"/>
          <w:bCs/>
          <w:szCs w:val="21"/>
          <w:highlight w:val="none"/>
          <w:u w:val="single"/>
        </w:rPr>
        <w:t xml:space="preserve">                                         </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rPr>
          <w:highlight w:val="none"/>
        </w:rPr>
      </w:r>
    </w:p>
    <w:p>
      <w:pPr>
        <w:ind w:firstLine="400"/>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rPr>
      </w:pPr>
      <w:r>
        <w:rPr>
          <w:highlight w:val="none"/>
        </w:rPr>
      </w:r>
      <w:bookmarkStart w:id="8" w:name="_Toc22020"/>
      <w:r>
        <w:rPr>
          <w:rFonts w:hint="eastAsia" w:ascii="宋体" w:hAnsi="宋体" w:eastAsia="宋体" w:cs="宋体"/>
          <w:b/>
          <w:szCs w:val="21"/>
          <w:highlight w:val="none"/>
        </w:rPr>
        <w:t xml:space="preserve">组成合同的文件</w:t>
      </w:r>
      <w:bookmarkEnd w:id="8"/>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本协议书与下列文件一起构成合同文件，如下述文件之间有任何抵触、矛盾或歧义，应按以下顺序解释：</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（1）政府采购合同协议书及其变更、补充协议</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（2）政府采购合同专用条款</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（3）政府采购合同通用条款</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（4）中标（成交）通知书</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（5）投标（响应）文件</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（6）采购文件</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（7）有关技术文件，图纸</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rPr>
      </w:pPr>
      <w:r>
        <w:rPr>
          <w:highlight w:val="none"/>
        </w:rPr>
      </w:r>
      <w:bookmarkStart w:id="9" w:name="_Toc24341"/>
      <w:r>
        <w:rPr>
          <w:rFonts w:hint="eastAsia" w:ascii="宋体" w:hAnsi="宋体" w:eastAsia="宋体" w:cs="宋体"/>
          <w:b/>
          <w:szCs w:val="21"/>
          <w:highlight w:val="none"/>
        </w:rPr>
        <w:t xml:space="preserve">合同生效</w:t>
      </w:r>
      <w:bookmarkEnd w:id="9"/>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生效。</w:t>
      </w:r>
      <w:r>
        <w:rPr>
          <w:highlight w:val="none"/>
        </w:rPr>
      </w:r>
      <w:r>
        <w:rPr>
          <w:highlight w:val="none"/>
        </w:rPr>
      </w:r>
    </w:p>
    <w:p>
      <w:pPr>
        <w:numPr>
          <w:ilvl w:val="0"/>
          <w:numId w:val="2"/>
        </w:numPr>
        <w:ind w:firstLine="402"/>
        <w:jc w:val="both"/>
        <w:spacing w:line="360" w:lineRule="auto"/>
        <w:widowControl w:val="off"/>
        <w:rPr>
          <w:rFonts w:ascii="宋体" w:hAnsi="宋体" w:eastAsia="宋体" w:cs="宋体"/>
          <w:b/>
          <w:szCs w:val="21"/>
          <w:highlight w:val="none"/>
        </w:rPr>
      </w:pPr>
      <w:r>
        <w:rPr>
          <w:highlight w:val="none"/>
        </w:rPr>
      </w:r>
      <w:bookmarkStart w:id="10" w:name="_Toc23415"/>
      <w:r>
        <w:rPr>
          <w:rFonts w:hint="eastAsia" w:ascii="宋体" w:hAnsi="宋体" w:eastAsia="宋体" w:cs="宋体"/>
          <w:b/>
          <w:szCs w:val="21"/>
          <w:highlight w:val="none"/>
        </w:rPr>
        <w:t xml:space="preserve">合同份数</w:t>
      </w:r>
      <w:bookmarkEnd w:id="10"/>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份，甲方执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份，乙方执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份，均具有同等法律效力。</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合同订立地点：</w:t>
      </w:r>
      <w:r>
        <w:rPr>
          <w:rFonts w:hint="eastAsia" w:ascii="宋体" w:hAnsi="宋体" w:eastAsia="宋体" w:cs="宋体"/>
          <w:szCs w:val="21"/>
          <w:highlight w:val="none"/>
          <w:u w:val="single"/>
        </w:rPr>
        <w:t xml:space="preserve">                           </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szCs w:val="21"/>
          <w:highlight w:val="none"/>
        </w:rPr>
        <w:t xml:space="preserve">附件：具体标的及其技术要求和商务要求、联合协议、分包意向协议等。</w:t>
      </w:r>
      <w:r>
        <w:rPr>
          <w:highlight w:val="none"/>
        </w:rPr>
      </w:r>
      <w:r>
        <w:rPr>
          <w:highlight w:val="none"/>
        </w:rPr>
      </w:r>
    </w:p>
    <w:p>
      <w:pPr>
        <w:pStyle w:val="1025"/>
        <w:spacing w:line="360" w:lineRule="auto"/>
        <w:rPr>
          <w:rFonts w:ascii="宋体" w:hAnsi="宋体" w:eastAsia="宋体" w:cs="宋体"/>
          <w:highlight w:val="none"/>
        </w:rPr>
      </w:pPr>
      <w:r>
        <w:rPr>
          <w:rFonts w:ascii="宋体" w:hAnsi="宋体" w:eastAsia="宋体" w:cs="宋体"/>
          <w:highlight w:val="none"/>
          <w:lang w:eastAsia="zh-CN"/>
        </w:rPr>
      </w:r>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highlight w:val="none"/>
          <w:lang w:val="en"/>
        </w:rPr>
        <w:t xml:space="preserve">   </w:t>
      </w:r>
      <w:r>
        <w:rPr>
          <w:highlight w:val="none"/>
        </w:rPr>
      </w:r>
      <w:r>
        <w:rPr>
          <w:highlight w:val="none"/>
        </w:rPr>
      </w:r>
    </w:p>
    <w:p>
      <w:pPr>
        <w:spacing w:line="360" w:lineRule="auto"/>
        <w:rPr>
          <w:rFonts w:ascii="宋体" w:hAnsi="宋体" w:eastAsia="宋体" w:cs="宋体"/>
          <w:highlight w:val="none"/>
        </w:rPr>
      </w:pPr>
      <w:r>
        <w:rPr>
          <w:rFonts w:hint="eastAsia" w:ascii="宋体" w:hAnsi="宋体" w:eastAsia="宋体" w:cs="宋体"/>
          <w:highlight w:val="none"/>
        </w:rPr>
        <w:br w:type="page" w:clear="all"/>
      </w:r>
      <w:r>
        <w:rPr>
          <w:highlight w:val="none"/>
        </w:rPr>
      </w:r>
      <w:r>
        <w:rPr>
          <w:highlight w:val="none"/>
        </w:rPr>
      </w:r>
    </w:p>
    <w:p>
      <w:pPr>
        <w:pStyle w:val="1025"/>
        <w:spacing w:line="360" w:lineRule="auto"/>
        <w:rPr>
          <w:rFonts w:ascii="宋体" w:hAnsi="宋体" w:eastAsia="宋体" w:cs="宋体"/>
          <w:highlight w:val="none"/>
        </w:rPr>
      </w:pPr>
      <w:r>
        <w:rPr>
          <w:rFonts w:ascii="宋体" w:hAnsi="宋体" w:eastAsia="宋体" w:cs="宋体"/>
          <w:highlight w:val="none"/>
          <w:lang w:eastAsia="zh-CN"/>
        </w:rPr>
      </w:r>
      <w:r>
        <w:rPr>
          <w:highlight w:val="none"/>
        </w:rPr>
      </w:r>
      <w:r>
        <w:rPr>
          <w:highlight w:val="none"/>
        </w:rP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2010"/>
        <w:gridCol w:w="2564"/>
        <w:gridCol w:w="2104"/>
        <w:gridCol w:w="2250"/>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spacing w:line="360" w:lineRule="auto"/>
              <w:rPr>
                <w:rFonts w:ascii="宋体" w:hAnsi="宋体" w:eastAsia="宋体" w:cs="宋体"/>
                <w:highlight w:val="none"/>
              </w:rPr>
            </w:pPr>
            <w:r>
              <w:rPr>
                <w:rFonts w:hint="eastAsia" w:ascii="宋体" w:hAnsi="宋体" w:eastAsia="宋体" w:cs="宋体"/>
                <w:szCs w:val="21"/>
                <w:highlight w:val="none"/>
              </w:rPr>
              <w:t xml:space="preserve">甲方（采购人、受采购人委托签订合同的单位或采购文件约定的合同甲方）</w:t>
            </w:r>
            <w:r>
              <w:rPr>
                <w:highlight w:val="none"/>
              </w:rPr>
            </w:r>
            <w:r>
              <w:rPr>
                <w:highlight w:val="none"/>
              </w:rPr>
            </w:r>
          </w:p>
        </w:tc>
        <w:tc>
          <w:tcPr>
            <w:gridSpan w:val="2"/>
            <w:tcBorders>
              <w:left w:val="single" w:color="auto" w:sz="2" w:space="0"/>
              <w:bottom w:val="single" w:color="auto" w:sz="2" w:space="0"/>
            </w:tcBorders>
            <w:tcW w:w="4406" w:type="dxa"/>
            <w:vAlign w:val="center"/>
            <w:textDirection w:val="lrTb"/>
            <w:noWrap w:val="false"/>
          </w:tcPr>
          <w:p>
            <w:pPr>
              <w:jc w:val="center"/>
              <w:spacing w:line="360" w:lineRule="auto"/>
              <w:rPr>
                <w:rFonts w:ascii="宋体" w:hAnsi="宋体" w:eastAsia="宋体" w:cs="宋体"/>
                <w:highlight w:val="none"/>
              </w:rPr>
            </w:pPr>
            <w:r>
              <w:rPr>
                <w:rFonts w:hint="eastAsia" w:ascii="宋体" w:hAnsi="宋体" w:eastAsia="宋体" w:cs="宋体"/>
                <w:szCs w:val="21"/>
                <w:highlight w:val="none"/>
              </w:rPr>
              <w:t xml:space="preserve">乙方（供应商）</w:t>
            </w:r>
            <w:r>
              <w:rPr>
                <w:highlight w:val="none"/>
              </w:rPr>
            </w:r>
            <w:r>
              <w:rPr>
                <w:highlight w:val="none"/>
              </w:rP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单位名称（公章或合同章）</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单位名称（公章或合同章）</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w:t>
            </w:r>
            <w:r>
              <w:rPr>
                <w:highlight w:val="none"/>
              </w:rPr>
            </w:r>
            <w:r>
              <w:rPr>
                <w:highlight w:val="none"/>
              </w:rPr>
            </w:r>
          </w:p>
          <w:p>
            <w:pPr>
              <w:ind w:firstLine="9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或其委托代理人（签章）</w:t>
            </w:r>
            <w:r>
              <w:rPr>
                <w:highlight w:val="none"/>
              </w:rPr>
            </w:r>
            <w:r>
              <w:rPr>
                <w:highlight w:val="none"/>
              </w:rP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法定代表人</w:t>
            </w:r>
            <w:r>
              <w:rPr>
                <w:highlight w:val="none"/>
              </w:rPr>
            </w:r>
            <w:r>
              <w:rPr>
                <w:highlight w:val="none"/>
              </w:rP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或其委托代理人（签章）</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拥有者性别</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住  所</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住  所</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联 系 人</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联 系 人</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联系电话</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联系电话</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通信地址</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通信地址</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邮政编码</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邮政编码</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电子邮箱</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电子邮箱</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统一社会信用代码</w:t>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统一社会信用代码</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开户名称</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开户银行</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银行账号</w:t>
            </w:r>
            <w:r>
              <w:rPr>
                <w:highlight w:val="none"/>
              </w:rPr>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60" w:lineRule="auto"/>
              <w:rPr>
                <w:rFonts w:ascii="宋体" w:hAnsi="宋体" w:eastAsia="宋体" w:cs="宋体"/>
                <w:spacing w:val="20"/>
                <w:szCs w:val="21"/>
                <w:highlight w:val="none"/>
              </w:rPr>
            </w:pPr>
            <w:r>
              <w:rPr>
                <w:rFonts w:ascii="宋体" w:hAnsi="宋体" w:eastAsia="宋体" w:cs="宋体"/>
                <w:spacing w:val="20"/>
                <w:szCs w:val="21"/>
                <w:highlight w:val="none"/>
              </w:rPr>
            </w:r>
            <w:r>
              <w:rPr>
                <w:highlight w:val="none"/>
              </w:rPr>
            </w:r>
            <w:r>
              <w:rPr>
                <w:highlight w:val="none"/>
              </w:rPr>
            </w:r>
          </w:p>
        </w:tc>
      </w:tr>
      <w:tr>
        <w:trPr>
          <w:trHeight w:val="586"/>
        </w:trPr>
        <w:tc>
          <w:tcPr>
            <w:gridSpan w:val="4"/>
            <w:tcBorders>
              <w:top w:val="single" w:color="auto" w:sz="2" w:space="0"/>
            </w:tcBorders>
            <w:tcW w:w="9035" w:type="dxa"/>
            <w:vAlign w:val="center"/>
            <w:textDirection w:val="lrTb"/>
            <w:noWrap w:val="false"/>
          </w:tcPr>
          <w:p>
            <w:pPr>
              <w:pStyle w:val="816"/>
              <w:ind w:left="400"/>
              <w:jc w:val="center"/>
              <w:spacing w:before="120" w:line="360" w:lineRule="auto"/>
              <w:rPr>
                <w:rFonts w:ascii="宋体" w:hAnsi="宋体" w:eastAsia="宋体" w:cs="宋体"/>
                <w:spacing w:val="20"/>
                <w:szCs w:val="21"/>
                <w:highlight w:val="none"/>
              </w:rPr>
            </w:pPr>
            <w:r>
              <w:rPr>
                <w:rFonts w:hint="eastAsia" w:ascii="宋体" w:hAnsi="宋体" w:eastAsia="宋体" w:cs="宋体"/>
                <w:szCs w:val="21"/>
                <w:highlight w:val="none"/>
              </w:rPr>
              <w:t xml:space="preserve">注：涉及联合体或其他合同主体的信息应按上表格式加列。</w:t>
            </w:r>
            <w:r>
              <w:rPr>
                <w:highlight w:val="none"/>
              </w:rPr>
            </w:r>
            <w:r>
              <w:rPr>
                <w:highlight w:val="none"/>
              </w:rPr>
            </w:r>
          </w:p>
        </w:tc>
      </w:tr>
    </w:tbl>
    <w:p>
      <w:pPr>
        <w:jc w:val="center"/>
        <w:spacing w:before="120" w:line="360" w:lineRule="auto"/>
        <w:rPr>
          <w:rFonts w:ascii="宋体" w:hAnsi="宋体" w:eastAsia="宋体" w:cs="宋体"/>
          <w:b/>
          <w:bCs/>
          <w:sz w:val="28"/>
          <w:szCs w:val="28"/>
          <w:highlight w:val="none"/>
        </w:rPr>
        <w:outlineLvl w:val="1"/>
      </w:pPr>
      <w:r>
        <w:rPr>
          <w:rFonts w:hint="eastAsia" w:ascii="宋体" w:hAnsi="宋体" w:eastAsia="宋体" w:cs="宋体"/>
          <w:szCs w:val="21"/>
          <w:highlight w:val="none"/>
          <w:u w:val="single"/>
        </w:rPr>
        <w:br w:type="page" w:clear="all"/>
      </w:r>
      <w:bookmarkStart w:id="11" w:name="_Toc27624"/>
      <w:r>
        <w:rPr>
          <w:highlight w:val="none"/>
        </w:rPr>
      </w:r>
      <w:bookmarkStart w:id="12" w:name="_Toc21891"/>
      <w:r>
        <w:rPr>
          <w:rFonts w:hint="eastAsia" w:ascii="宋体" w:hAnsi="宋体" w:eastAsia="宋体" w:cs="宋体"/>
          <w:b/>
          <w:bCs/>
          <w:sz w:val="28"/>
          <w:szCs w:val="28"/>
          <w:highlight w:val="none"/>
        </w:rPr>
        <w:t xml:space="preserve">第二节 政府采购合同通用条款</w:t>
      </w:r>
      <w:bookmarkEnd w:id="11"/>
      <w:r>
        <w:rPr>
          <w:highlight w:val="none"/>
        </w:rPr>
      </w:r>
      <w:bookmarkEnd w:id="12"/>
      <w:r>
        <w:rPr>
          <w:highlight w:val="none"/>
        </w:rPr>
      </w:r>
      <w:r>
        <w:rPr>
          <w:highlight w:val="none"/>
        </w:rPr>
      </w:r>
    </w:p>
    <w:p>
      <w:pPr>
        <w:spacing w:line="360" w:lineRule="auto"/>
        <w:tabs>
          <w:tab w:val="left" w:pos="8820" w:leader="none"/>
          <w:tab w:val="left" w:pos="9345" w:leader="none"/>
          <w:tab w:val="left" w:pos="9765" w:leader="none"/>
        </w:tabs>
        <w:rPr>
          <w:rFonts w:ascii="宋体" w:hAnsi="宋体" w:eastAsia="宋体" w:cs="宋体"/>
          <w:b/>
          <w:bCs/>
          <w:sz w:val="24"/>
          <w:highlight w:val="none"/>
        </w:rPr>
      </w:pPr>
      <w:r>
        <w:rPr>
          <w:highlight w:val="none"/>
        </w:rPr>
      </w:r>
      <w:bookmarkStart w:id="13" w:name="_Toc14328"/>
      <w:r>
        <w:rPr>
          <w:rFonts w:hint="eastAsia" w:ascii="宋体" w:hAnsi="宋体" w:eastAsia="宋体" w:cs="宋体"/>
          <w:b/>
          <w:sz w:val="24"/>
          <w:highlight w:val="none"/>
        </w:rPr>
        <w:t xml:space="preserve">1. </w:t>
      </w:r>
      <w:r>
        <w:rPr>
          <w:rFonts w:hint="eastAsia" w:ascii="宋体" w:hAnsi="宋体" w:eastAsia="宋体" w:cs="宋体"/>
          <w:b/>
          <w:bCs/>
          <w:sz w:val="24"/>
          <w:highlight w:val="none"/>
        </w:rPr>
        <w:t xml:space="preserve">定义</w:t>
      </w:r>
      <w:bookmarkEnd w:id="13"/>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（1）采购人（以下称甲方）是指使用财政性资金，通过政府采购方式向供应商购买货物及其相关服务的国家机关、事业单位、团体组织。</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（2）供应商（以下称乙方）是指参加政府采购活动并且中标（成交），向采购人提供合同约定的货物及其相关服务的法人、非法人组织或者自然人。</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szCs w:val="21"/>
          <w:highlight w:val="none"/>
        </w:rPr>
        <w:t xml:space="preserve">。</w:t>
      </w:r>
      <w:r>
        <w:rPr>
          <w:highlight w:val="none"/>
        </w:rPr>
      </w:r>
      <w:r>
        <w:rPr>
          <w:highlight w:val="none"/>
        </w:rPr>
      </w:r>
    </w:p>
    <w:p>
      <w:pPr>
        <w:ind w:firstLine="400"/>
        <w:spacing w:line="360" w:lineRule="auto"/>
        <w:tabs>
          <w:tab w:val="left" w:pos="570" w:leader="none"/>
          <w:tab w:val="left" w:pos="9240" w:leader="none"/>
          <w:tab w:val="left" w:pos="9555" w:leader="none"/>
        </w:tabs>
        <w:rPr>
          <w:rFonts w:ascii="宋体" w:hAnsi="宋体" w:eastAsia="宋体" w:cs="宋体"/>
          <w:szCs w:val="21"/>
          <w:highlight w:val="none"/>
        </w:rPr>
      </w:pPr>
      <w:r>
        <w:rPr>
          <w:rFonts w:hint="eastAsia" w:ascii="宋体" w:hAnsi="宋体" w:eastAsia="宋体" w:cs="宋体"/>
          <w:szCs w:val="21"/>
          <w:highlight w:val="none"/>
        </w:rPr>
        <w:t xml:space="preserve">1.2本合同下列术语应解释为：</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宋体"/>
          <w:szCs w:val="21"/>
          <w:highlight w:val="none"/>
        </w:rPr>
        <w:t xml:space="preserve">。</w:t>
      </w:r>
      <w:r>
        <w:rPr>
          <w:highlight w:val="none"/>
        </w:rPr>
      </w:r>
      <w:r>
        <w:rPr>
          <w:highlight w:val="none"/>
        </w:rPr>
      </w:r>
    </w:p>
    <w:p>
      <w:pPr>
        <w:ind w:firstLine="400"/>
        <w:spacing w:line="360" w:lineRule="auto"/>
        <w:tabs>
          <w:tab w:val="left" w:pos="570" w:leader="none"/>
          <w:tab w:val="left" w:pos="9240" w:leader="none"/>
          <w:tab w:val="left" w:pos="9555" w:leader="none"/>
        </w:tabs>
        <w:rPr>
          <w:rFonts w:ascii="宋体" w:hAnsi="宋体" w:eastAsia="宋体" w:cs="宋体"/>
          <w:szCs w:val="21"/>
          <w:highlight w:val="none"/>
        </w:rPr>
      </w:pPr>
      <w:r>
        <w:rPr>
          <w:rFonts w:hint="eastAsia" w:ascii="宋体" w:hAnsi="宋体" w:eastAsia="宋体" w:cs="宋体"/>
          <w:szCs w:val="21"/>
          <w:highlight w:val="none"/>
        </w:rPr>
        <w:t xml:space="preserve">（2）“合同价款”系指根据本合同规定乙方在全面履行合同义务后甲方应支付给乙方的价款。</w:t>
      </w:r>
      <w:r>
        <w:rPr>
          <w:highlight w:val="none"/>
        </w:rPr>
      </w:r>
      <w:r>
        <w:rPr>
          <w:highlight w:val="none"/>
        </w:rPr>
      </w:r>
    </w:p>
    <w:p>
      <w:pPr>
        <w:ind w:firstLine="400"/>
        <w:spacing w:line="360" w:lineRule="auto"/>
        <w:tabs>
          <w:tab w:val="left" w:pos="570" w:leader="none"/>
          <w:tab w:val="left" w:pos="9240" w:leader="none"/>
          <w:tab w:val="left" w:pos="9555" w:leader="none"/>
        </w:tabs>
        <w:rPr>
          <w:rFonts w:ascii="宋体" w:hAnsi="宋体" w:eastAsia="宋体" w:cs="宋体"/>
          <w:color w:val="000000"/>
          <w:szCs w:val="21"/>
          <w:highlight w:val="none"/>
        </w:rPr>
      </w:pPr>
      <w:r>
        <w:rPr>
          <w:rFonts w:hint="eastAsia" w:ascii="宋体" w:hAnsi="宋体" w:eastAsia="宋体" w:cs="宋体"/>
          <w:szCs w:val="21"/>
          <w:highlight w:val="none"/>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包括软件）及相关的备品备件、工具、手册及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szCs w:val="21"/>
          <w:highlight w:val="none"/>
        </w:rPr>
        <w:t xml:space="preserve">相关</w:t>
      </w:r>
      <w:r>
        <w:rPr>
          <w:rFonts w:hint="eastAsia" w:ascii="宋体" w:hAnsi="宋体" w:eastAsia="宋体" w:cs="宋体"/>
          <w:color w:val="000000"/>
          <w:szCs w:val="21"/>
          <w:highlight w:val="none"/>
        </w:rPr>
        <w:t xml:space="preserve">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宋体"/>
          <w:color w:val="000000"/>
          <w:szCs w:val="21"/>
          <w:highlight w:val="none"/>
        </w:rPr>
        <w:t xml:space="preserve">商履行</w:t>
      </w:r>
      <w:r>
        <w:rPr>
          <w:rFonts w:hint="eastAsia" w:ascii="宋体" w:hAnsi="宋体" w:eastAsia="宋体" w:cs="宋体"/>
          <w:color w:val="000000"/>
          <w:szCs w:val="21"/>
          <w:highlight w:val="none"/>
        </w:rPr>
        <w:t xml:space="preserve">合同的行为。</w:t>
      </w:r>
      <w:r>
        <w:rPr>
          <w:highlight w:val="none"/>
        </w:rPr>
      </w:r>
      <w:r>
        <w:rPr>
          <w:highlight w:val="none"/>
        </w:rPr>
      </w:r>
    </w:p>
    <w:p>
      <w:pPr>
        <w:ind w:firstLine="400"/>
        <w:spacing w:line="360" w:lineRule="auto"/>
        <w:tabs>
          <w:tab w:val="left" w:pos="570" w:leader="none"/>
          <w:tab w:val="left" w:pos="9240" w:leader="none"/>
          <w:tab w:val="left" w:pos="955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szCs w:val="21"/>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highlight w:val="none"/>
        </w:rPr>
      </w:r>
      <w:r>
        <w:rPr>
          <w:highlight w:val="none"/>
        </w:rPr>
      </w:r>
    </w:p>
    <w:p>
      <w:pPr>
        <w:ind w:firstLine="400"/>
        <w:spacing w:line="360" w:lineRule="auto"/>
        <w:tabs>
          <w:tab w:val="left" w:pos="570" w:leader="none"/>
          <w:tab w:val="left" w:pos="9240" w:leader="none"/>
          <w:tab w:val="left" w:pos="955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highlight w:val="none"/>
        </w:rPr>
      </w:r>
      <w:r>
        <w:rPr>
          <w:highlight w:val="none"/>
        </w:rPr>
      </w:r>
    </w:p>
    <w:p>
      <w:pPr>
        <w:numPr>
          <w:ilvl w:val="0"/>
          <w:numId w:val="4"/>
        </w:numPr>
        <w:spacing w:line="360" w:lineRule="auto"/>
        <w:widowControl w:val="off"/>
        <w:rPr>
          <w:rFonts w:ascii="宋体" w:hAnsi="宋体" w:eastAsia="宋体" w:cs="宋体"/>
          <w:b/>
          <w:bCs/>
          <w:color w:val="000000"/>
          <w:sz w:val="24"/>
          <w:highlight w:val="none"/>
        </w:rPr>
      </w:pPr>
      <w:r>
        <w:rPr>
          <w:highlight w:val="none"/>
        </w:rPr>
      </w:r>
      <w:bookmarkStart w:id="14" w:name="_Toc1083"/>
      <w:r>
        <w:rPr>
          <w:rFonts w:hint="eastAsia" w:ascii="宋体" w:hAnsi="宋体" w:eastAsia="宋体" w:cs="宋体"/>
          <w:b/>
          <w:color w:val="000000"/>
          <w:sz w:val="24"/>
          <w:highlight w:val="none"/>
        </w:rPr>
        <w:t xml:space="preserve">合同标的及金额</w:t>
      </w:r>
      <w:bookmarkEnd w:id="14"/>
      <w:r>
        <w:rPr>
          <w:highlight w:val="none"/>
        </w:rPr>
      </w:r>
      <w:r>
        <w:rPr>
          <w:highlight w:val="none"/>
        </w:rPr>
      </w:r>
    </w:p>
    <w:p>
      <w:pPr>
        <w:ind w:firstLine="400"/>
        <w:spacing w:line="360" w:lineRule="auto"/>
        <w:rPr>
          <w:rFonts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highlight w:val="none"/>
        </w:rPr>
      </w:r>
      <w:r>
        <w:rPr>
          <w:highlight w:val="none"/>
        </w:rPr>
      </w:r>
    </w:p>
    <w:p>
      <w:pPr>
        <w:spacing w:line="360" w:lineRule="auto"/>
        <w:rPr>
          <w:rFonts w:ascii="宋体" w:hAnsi="宋体" w:eastAsia="宋体" w:cs="宋体"/>
          <w:b/>
          <w:color w:val="000000"/>
          <w:sz w:val="24"/>
          <w:highlight w:val="none"/>
        </w:rPr>
      </w:pPr>
      <w:r>
        <w:rPr>
          <w:highlight w:val="none"/>
        </w:rPr>
      </w:r>
      <w:bookmarkStart w:id="15" w:name="_Toc21568"/>
      <w:r>
        <w:rPr>
          <w:rFonts w:hint="eastAsia" w:ascii="宋体" w:hAnsi="宋体" w:eastAsia="宋体" w:cs="宋体"/>
          <w:b/>
          <w:color w:val="000000"/>
          <w:sz w:val="24"/>
          <w:highlight w:val="none"/>
        </w:rPr>
        <w:t xml:space="preserve">3. 履行合同的时间、地点和方式</w:t>
      </w:r>
      <w:bookmarkEnd w:id="15"/>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rPr>
          <w:highlight w:val="none"/>
        </w:rPr>
      </w:r>
      <w:r>
        <w:rPr>
          <w:highlight w:val="none"/>
        </w:rPr>
      </w:r>
    </w:p>
    <w:p>
      <w:pPr>
        <w:spacing w:line="360" w:lineRule="auto"/>
        <w:rPr>
          <w:rFonts w:ascii="宋体" w:hAnsi="宋体" w:eastAsia="宋体" w:cs="宋体"/>
          <w:b/>
          <w:bCs/>
          <w:color w:val="000000"/>
          <w:sz w:val="24"/>
          <w:highlight w:val="none"/>
        </w:rPr>
      </w:pPr>
      <w:r>
        <w:rPr>
          <w:highlight w:val="none"/>
        </w:rPr>
      </w:r>
      <w:bookmarkStart w:id="16" w:name="_Toc22195"/>
      <w:r>
        <w:rPr>
          <w:rFonts w:hint="eastAsia" w:ascii="宋体" w:hAnsi="宋体" w:eastAsia="宋体" w:cs="宋体"/>
          <w:b/>
          <w:bCs/>
          <w:color w:val="000000"/>
          <w:sz w:val="24"/>
          <w:highlight w:val="none"/>
        </w:rPr>
        <w:t xml:space="preserve">4. 甲方的权利和义务</w:t>
      </w:r>
      <w:bookmarkEnd w:id="16"/>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color w:val="000000"/>
          <w:szCs w:val="21"/>
          <w:highlight w:val="none"/>
        </w:rPr>
        <w:t xml:space="preserve">4.4 甲方应当按照合同约定及时对交付的货物进行验收，</w:t>
      </w:r>
      <w:r>
        <w:rPr>
          <w:rFonts w:hint="eastAsia" w:ascii="宋体" w:hAnsi="宋体" w:eastAsia="宋体" w:cs="宋体"/>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w:t>
      </w:r>
      <w:r>
        <w:rPr>
          <w:rFonts w:hint="eastAsia" w:ascii="宋体" w:hAnsi="宋体" w:eastAsia="宋体" w:cs="宋体"/>
          <w:szCs w:val="21"/>
          <w:highlight w:val="none"/>
        </w:rPr>
        <w:t xml:space="preserve">作出</w:t>
      </w:r>
      <w:r>
        <w:rPr>
          <w:rFonts w:hint="eastAsia" w:ascii="宋体" w:hAnsi="宋体" w:eastAsia="宋体" w:cs="宋体"/>
          <w:szCs w:val="21"/>
          <w:highlight w:val="none"/>
        </w:rPr>
        <w:t xml:space="preserve">任何说明的，</w:t>
      </w:r>
      <w:r>
        <w:rPr>
          <w:rFonts w:hint="eastAsia" w:ascii="宋体" w:hAnsi="宋体" w:eastAsia="宋体" w:cs="宋体"/>
          <w:color w:val="000000"/>
          <w:szCs w:val="21"/>
          <w:highlight w:val="none"/>
        </w:rPr>
        <w:t xml:space="preserve">视为验收通过。</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highlight w:val="none"/>
        </w:rPr>
      </w:r>
      <w:r>
        <w:rPr>
          <w:highlight w:val="none"/>
        </w:rPr>
      </w:r>
    </w:p>
    <w:p>
      <w:pPr>
        <w:spacing w:line="360" w:lineRule="auto"/>
        <w:rPr>
          <w:rFonts w:ascii="宋体" w:hAnsi="宋体" w:eastAsia="宋体" w:cs="宋体"/>
          <w:b/>
          <w:bCs/>
          <w:color w:val="000000"/>
          <w:sz w:val="24"/>
          <w:highlight w:val="none"/>
        </w:rPr>
      </w:pPr>
      <w:r>
        <w:rPr>
          <w:highlight w:val="none"/>
        </w:rPr>
      </w:r>
      <w:bookmarkStart w:id="17" w:name="_Toc1285"/>
      <w:r>
        <w:rPr>
          <w:rFonts w:hint="eastAsia" w:ascii="宋体" w:hAnsi="宋体" w:eastAsia="宋体" w:cs="宋体"/>
          <w:b/>
          <w:bCs/>
          <w:color w:val="000000"/>
          <w:sz w:val="24"/>
          <w:highlight w:val="none"/>
        </w:rPr>
        <w:t xml:space="preserve">5. 乙方的权利和义务</w:t>
      </w:r>
      <w:bookmarkEnd w:id="17"/>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5.4国家法律法规规定及【政府采购合同专用条款】约定应由乙方承担的其他义务和责任。</w:t>
      </w:r>
      <w:r>
        <w:rPr>
          <w:highlight w:val="none"/>
        </w:rPr>
      </w:r>
      <w:r>
        <w:rPr>
          <w:highlight w:val="none"/>
        </w:rPr>
      </w:r>
    </w:p>
    <w:p>
      <w:pPr>
        <w:numPr>
          <w:ilvl w:val="0"/>
          <w:numId w:val="5"/>
        </w:numPr>
        <w:spacing w:line="360" w:lineRule="auto"/>
        <w:widowControl w:val="off"/>
        <w:rPr>
          <w:rFonts w:ascii="宋体" w:hAnsi="宋体" w:eastAsia="宋体" w:cs="宋体"/>
          <w:b/>
          <w:bCs/>
          <w:color w:val="000000"/>
          <w:sz w:val="24"/>
          <w:highlight w:val="none"/>
        </w:rPr>
      </w:pPr>
      <w:r>
        <w:rPr>
          <w:highlight w:val="none"/>
        </w:rPr>
      </w:r>
      <w:bookmarkStart w:id="18" w:name="_Toc29055"/>
      <w:r>
        <w:rPr>
          <w:rFonts w:hint="eastAsia" w:ascii="宋体" w:hAnsi="宋体" w:eastAsia="宋体" w:cs="宋体"/>
          <w:b/>
          <w:bCs/>
          <w:color w:val="000000"/>
          <w:sz w:val="24"/>
          <w:highlight w:val="none"/>
        </w:rPr>
        <w:t xml:space="preserve">合同履行</w:t>
      </w:r>
      <w:bookmarkEnd w:id="18"/>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rPr>
          <w:highlight w:val="none"/>
        </w:rPr>
      </w:r>
    </w:p>
    <w:p>
      <w:pPr>
        <w:spacing w:line="360" w:lineRule="auto"/>
        <w:rPr>
          <w:rFonts w:ascii="宋体" w:hAnsi="宋体" w:eastAsia="宋体" w:cs="宋体"/>
          <w:b/>
          <w:bCs/>
          <w:color w:val="000000"/>
          <w:sz w:val="24"/>
          <w:highlight w:val="none"/>
        </w:rPr>
      </w:pPr>
      <w:r>
        <w:rPr>
          <w:highlight w:val="none"/>
        </w:rPr>
      </w:r>
      <w:bookmarkStart w:id="19" w:name="_Toc15479"/>
      <w:r>
        <w:rPr>
          <w:rFonts w:hint="eastAsia" w:ascii="宋体" w:hAnsi="宋体" w:eastAsia="宋体" w:cs="宋体"/>
          <w:b/>
          <w:bCs/>
          <w:color w:val="000000"/>
          <w:sz w:val="24"/>
          <w:highlight w:val="none"/>
        </w:rPr>
        <w:t xml:space="preserve">7. 货物包装、运输、保险和交付要求</w:t>
      </w:r>
      <w:bookmarkEnd w:id="19"/>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的产品及相关快递服务涉及具体包装要求的，应不低于《商品包装政府采购需求标准（试行）》和《快递包装政府采购需求标准（试行）》标准，并作为履约验收的内容，必要时甲方可以要求乙方在履约验收环节出具检测报告。</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rPr>
          <w:highlight w:val="none"/>
        </w:rPr>
      </w:r>
    </w:p>
    <w:p>
      <w:pPr>
        <w:spacing w:line="360" w:lineRule="auto"/>
        <w:rPr>
          <w:rFonts w:ascii="宋体" w:hAnsi="宋体" w:eastAsia="宋体" w:cs="宋体"/>
          <w:b/>
          <w:sz w:val="24"/>
          <w:highlight w:val="none"/>
        </w:rPr>
      </w:pPr>
      <w:r>
        <w:rPr>
          <w:highlight w:val="none"/>
        </w:rPr>
      </w:r>
      <w:bookmarkStart w:id="20" w:name="_Toc1612"/>
      <w:r>
        <w:rPr>
          <w:rFonts w:hint="eastAsia" w:ascii="宋体" w:hAnsi="宋体" w:eastAsia="宋体" w:cs="宋体"/>
          <w:b/>
          <w:color w:val="000000"/>
          <w:sz w:val="24"/>
          <w:highlight w:val="none"/>
        </w:rPr>
        <w:t xml:space="preserve">8. </w:t>
      </w:r>
      <w:r>
        <w:rPr>
          <w:rFonts w:hint="eastAsia" w:ascii="宋体" w:hAnsi="宋体" w:eastAsia="宋体" w:cs="宋体"/>
          <w:b/>
          <w:sz w:val="24"/>
          <w:highlight w:val="none"/>
        </w:rPr>
        <w:t xml:space="preserve">质量标准和保证</w:t>
      </w:r>
      <w:bookmarkEnd w:id="20"/>
      <w:r>
        <w:rPr>
          <w:highlight w:val="none"/>
        </w:rPr>
      </w:r>
      <w:r>
        <w:rPr>
          <w:highlight w:val="none"/>
        </w:rPr>
      </w:r>
    </w:p>
    <w:p>
      <w:pPr>
        <w:pStyle w:val="819"/>
        <w:ind w:firstLine="420"/>
        <w:jc w:val="left"/>
        <w:spacing w:line="360" w:lineRule="auto"/>
        <w:rPr>
          <w:rFonts w:hAnsi="宋体" w:cs="宋体"/>
          <w:b/>
          <w:highlight w:val="none"/>
        </w:rPr>
      </w:pPr>
      <w:r>
        <w:rPr>
          <w:rFonts w:hint="eastAsia" w:hAnsi="宋体" w:cs="宋体"/>
          <w:highlight w:val="none"/>
        </w:rPr>
        <w:t xml:space="preserve">8.1 质量标准</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rPr>
          <w:highlight w:val="none"/>
        </w:rPr>
      </w:r>
    </w:p>
    <w:p>
      <w:pPr>
        <w:pStyle w:val="819"/>
        <w:ind w:firstLine="420"/>
        <w:jc w:val="left"/>
        <w:spacing w:line="360" w:lineRule="auto"/>
        <w:rPr>
          <w:rFonts w:hAnsi="宋体" w:cs="宋体"/>
          <w:highlight w:val="none"/>
        </w:rPr>
      </w:pPr>
      <w:r>
        <w:rPr>
          <w:rFonts w:hint="eastAsia" w:hAnsi="宋体" w:cs="宋体"/>
          <w:highlight w:val="none"/>
        </w:rPr>
        <w:t xml:space="preserve">（2）采用中华人民共和国法定计量单位。</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（3）乙方所提供的货物应符合国家有关安全、环保、卫生的规定。</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宋体"/>
          <w:szCs w:val="21"/>
          <w:highlight w:val="none"/>
        </w:rPr>
        <w:t xml:space="preserve">包装好随货物</w:t>
      </w:r>
      <w:r>
        <w:rPr>
          <w:rFonts w:hint="eastAsia" w:ascii="宋体" w:hAnsi="宋体" w:eastAsia="宋体" w:cs="宋体"/>
          <w:szCs w:val="21"/>
          <w:highlight w:val="none"/>
        </w:rPr>
        <w:t xml:space="preserve">一同发运。</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8.2 保证</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规定或乙方书面承诺（两者以较长的为准）的质量保证期内，</w:t>
      </w:r>
      <w:r>
        <w:rPr>
          <w:rFonts w:hint="eastAsia" w:ascii="宋体" w:hAnsi="宋体" w:eastAsia="宋体" w:cs="宋体"/>
          <w:szCs w:val="21"/>
          <w:highlight w:val="none"/>
        </w:rPr>
        <w:t xml:space="preserve">本保证</w:t>
      </w:r>
      <w:r>
        <w:rPr>
          <w:rFonts w:hint="eastAsia" w:ascii="宋体" w:hAnsi="宋体" w:eastAsia="宋体" w:cs="宋体"/>
          <w:szCs w:val="21"/>
          <w:highlight w:val="none"/>
        </w:rPr>
        <w:t xml:space="preserve">保持有效。</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（2）在质量保证期内所发现的缺陷，甲方应尽快以书面形式通知乙方。</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（3）乙方收到通知后，应在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规定的响应时间内以合理的速度免费维修或更换有缺陷的货物或部件。</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rPr>
        <w:t xml:space="preserve">5</w:t>
      </w:r>
      <w:r>
        <w:rPr>
          <w:rFonts w:hint="eastAsia" w:ascii="宋体" w:hAnsi="宋体" w:eastAsia="宋体" w:cs="宋体"/>
          <w:szCs w:val="21"/>
          <w:highlight w:val="none"/>
        </w:rPr>
        <w:t xml:space="preserve">.1条规定以书面形式</w:t>
      </w:r>
      <w:r>
        <w:rPr>
          <w:rFonts w:hint="eastAsia" w:ascii="宋体" w:hAnsi="宋体" w:eastAsia="宋体" w:cs="宋体"/>
          <w:color w:val="000000"/>
          <w:szCs w:val="21"/>
          <w:highlight w:val="none"/>
        </w:rPr>
        <w:t xml:space="preserve">追究</w:t>
      </w:r>
      <w:r>
        <w:rPr>
          <w:rFonts w:hint="eastAsia" w:ascii="宋体" w:hAnsi="宋体" w:eastAsia="宋体" w:cs="宋体"/>
          <w:szCs w:val="21"/>
          <w:highlight w:val="none"/>
        </w:rPr>
        <w:t xml:space="preserve">乙方</w:t>
      </w:r>
      <w:r>
        <w:rPr>
          <w:rFonts w:hint="eastAsia" w:ascii="宋体" w:hAnsi="宋体" w:eastAsia="宋体" w:cs="宋体"/>
          <w:color w:val="000000"/>
          <w:szCs w:val="21"/>
          <w:highlight w:val="none"/>
        </w:rPr>
        <w:t xml:space="preserve">的违约责任</w:t>
      </w:r>
      <w:r>
        <w:rPr>
          <w:rFonts w:hint="eastAsia" w:ascii="宋体" w:hAnsi="宋体" w:eastAsia="宋体" w:cs="宋体"/>
          <w:szCs w:val="21"/>
          <w:highlight w:val="none"/>
        </w:rPr>
        <w:t xml:space="preserve">。</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21" w:name="_Toc21701"/>
      <w:r>
        <w:rPr>
          <w:rFonts w:hint="eastAsia" w:ascii="宋体" w:hAnsi="宋体" w:eastAsia="宋体" w:cs="宋体"/>
          <w:b/>
          <w:bCs/>
          <w:color w:val="000000"/>
          <w:sz w:val="24"/>
          <w:highlight w:val="none"/>
        </w:rPr>
        <w:t xml:space="preserve">9</w:t>
      </w:r>
      <w:r>
        <w:rPr>
          <w:rFonts w:hint="eastAsia" w:ascii="宋体" w:hAnsi="宋体" w:eastAsia="宋体" w:cs="宋体"/>
          <w:b/>
          <w:bCs/>
          <w:sz w:val="24"/>
          <w:highlight w:val="none"/>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sz w:val="24"/>
          <w:highlight w:val="none"/>
        </w:rPr>
        <w:t xml:space="preserve">权利瑕疵担保</w:t>
      </w:r>
      <w:bookmarkEnd w:id="21"/>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rPr>
          <w:highlight w:val="none"/>
        </w:rPr>
      </w:r>
      <w:r>
        <w:rPr>
          <w:highlight w:val="none"/>
        </w:rPr>
      </w:r>
    </w:p>
    <w:p>
      <w:pPr>
        <w:ind w:firstLine="40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highlight w:val="none"/>
        </w:rPr>
      </w:r>
      <w:r>
        <w:rPr>
          <w:highlight w:val="none"/>
        </w:rPr>
      </w:r>
    </w:p>
    <w:p>
      <w:pPr>
        <w:spacing w:line="360" w:lineRule="auto"/>
        <w:rPr>
          <w:rFonts w:ascii="宋体" w:hAnsi="宋体" w:eastAsia="宋体" w:cs="宋体"/>
          <w:b/>
          <w:bCs/>
          <w:color w:val="000000"/>
          <w:sz w:val="24"/>
          <w:highlight w:val="none"/>
        </w:rPr>
      </w:pPr>
      <w:r>
        <w:rPr>
          <w:highlight w:val="none"/>
        </w:rPr>
      </w:r>
      <w:bookmarkStart w:id="22" w:name="_Toc8417"/>
      <w:r>
        <w:rPr>
          <w:rFonts w:hint="eastAsia" w:ascii="宋体" w:hAnsi="宋体" w:eastAsia="宋体" w:cs="宋体"/>
          <w:b/>
          <w:bCs/>
          <w:color w:val="000000"/>
          <w:sz w:val="24"/>
          <w:highlight w:val="none"/>
        </w:rPr>
        <w:t xml:space="preserve">10. 知识产权保护</w:t>
      </w:r>
      <w:bookmarkEnd w:id="22"/>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w:t>
      </w:r>
      <w:r>
        <w:rPr>
          <w:rFonts w:hint="eastAsia" w:ascii="宋体" w:hAnsi="宋体" w:eastAsia="宋体" w:cs="宋体"/>
          <w:szCs w:val="21"/>
          <w:highlight w:val="none"/>
        </w:rPr>
        <w:t xml:space="preserve">何第三人的知识产权等权利。</w:t>
      </w:r>
      <w:bookmarkStart w:id="23" w:name="_Hlk163047038"/>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3"/>
      <w:r>
        <w:rPr>
          <w:rFonts w:hint="eastAsia" w:ascii="宋体" w:hAnsi="宋体" w:eastAsia="宋体" w:cs="宋体"/>
          <w:szCs w:val="21"/>
          <w:highlight w:val="none"/>
        </w:rPr>
        <w:t xml:space="preserve">。</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24" w:name="_Toc9125"/>
      <w:r>
        <w:rPr>
          <w:rFonts w:hint="eastAsia" w:ascii="宋体" w:hAnsi="宋体" w:eastAsia="宋体" w:cs="宋体"/>
          <w:b/>
          <w:bCs/>
          <w:sz w:val="24"/>
          <w:highlight w:val="none"/>
        </w:rPr>
        <w:t xml:space="preserve">11. 保密义务</w:t>
      </w:r>
      <w:bookmarkEnd w:id="24"/>
      <w:r>
        <w:rPr>
          <w:highlight w:val="none"/>
        </w:rPr>
      </w:r>
      <w:r>
        <w:rPr>
          <w:highlight w:val="none"/>
        </w:rPr>
      </w:r>
    </w:p>
    <w:p>
      <w:pPr>
        <w:ind w:firstLine="400"/>
        <w:spacing w:line="360" w:lineRule="auto"/>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25" w:name="_Toc32000"/>
      <w:r>
        <w:rPr>
          <w:rFonts w:hint="eastAsia" w:ascii="宋体" w:hAnsi="宋体" w:eastAsia="宋体" w:cs="宋体"/>
          <w:b/>
          <w:bCs/>
          <w:sz w:val="24"/>
          <w:highlight w:val="none"/>
        </w:rPr>
        <w:t xml:space="preserve">12. 合同价款支付</w:t>
      </w:r>
      <w:bookmarkEnd w:id="25"/>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12.1 合同价款支付按照国库集中支付制度及财政管理相关规定执行。</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】中约定。</w:t>
      </w:r>
      <w:r>
        <w:rPr>
          <w:highlight w:val="none"/>
        </w:rPr>
      </w:r>
      <w:r>
        <w:rPr>
          <w:highlight w:val="none"/>
        </w:rPr>
      </w:r>
    </w:p>
    <w:p>
      <w:pPr>
        <w:pStyle w:val="815"/>
        <w:spacing w:line="360" w:lineRule="auto"/>
        <w:rPr>
          <w:rFonts w:ascii="宋体" w:hAnsi="宋体" w:cs="宋体"/>
          <w:b/>
          <w:bCs/>
          <w:sz w:val="24"/>
          <w:highlight w:val="none"/>
        </w:rPr>
      </w:pPr>
      <w:r>
        <w:rPr>
          <w:highlight w:val="none"/>
        </w:rPr>
      </w:r>
      <w:bookmarkStart w:id="26" w:name="_Toc18222"/>
      <w:r>
        <w:rPr>
          <w:rFonts w:hint="eastAsia" w:ascii="宋体" w:hAnsi="宋体" w:cs="宋体"/>
          <w:b/>
          <w:bCs/>
          <w:sz w:val="24"/>
          <w:highlight w:val="none"/>
        </w:rPr>
        <w:t xml:space="preserve">13. </w:t>
      </w:r>
      <w:r>
        <w:rPr>
          <w:rFonts w:hint="eastAsia" w:ascii="宋体" w:hAnsi="宋体" w:cs="宋体"/>
          <w:b/>
          <w:bCs/>
          <w:sz w:val="24"/>
          <w:highlight w:val="none"/>
        </w:rPr>
        <w:t xml:space="preserve">履约保证金</w:t>
      </w:r>
      <w:bookmarkEnd w:id="26"/>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rPr>
          <w:highlight w:val="none"/>
        </w:rPr>
      </w:r>
    </w:p>
    <w:p>
      <w:pPr>
        <w:ind w:firstLine="420"/>
        <w:spacing w:line="360" w:lineRule="auto"/>
        <w:rPr>
          <w:rFonts w:ascii="宋体" w:hAnsi="宋体" w:eastAsia="宋体" w:cs="宋体"/>
          <w:highlight w:val="none"/>
        </w:rPr>
      </w:pPr>
      <w:r>
        <w:rPr>
          <w:rFonts w:hint="eastAsia" w:ascii="宋体" w:hAnsi="宋体" w:eastAsia="宋体" w:cs="宋体"/>
          <w:szCs w:val="21"/>
          <w:highlight w:val="none"/>
        </w:rPr>
        <w:t xml:space="preserve">13.3 甲方在项目通过验收后按照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规定的时间内将履约保证金退还乙方；逾期退还的，乙方可要求甲方支付违约金，违约金按照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规定支付。</w:t>
      </w:r>
      <w:r>
        <w:rPr>
          <w:highlight w:val="none"/>
        </w:rPr>
      </w:r>
      <w:r>
        <w:rPr>
          <w:highlight w:val="none"/>
        </w:rPr>
      </w:r>
    </w:p>
    <w:p>
      <w:pPr>
        <w:spacing w:line="360" w:lineRule="auto"/>
        <w:rPr>
          <w:rFonts w:ascii="宋体" w:hAnsi="宋体" w:eastAsia="宋体" w:cs="宋体"/>
          <w:b/>
          <w:sz w:val="24"/>
          <w:highlight w:val="none"/>
        </w:rPr>
      </w:pPr>
      <w:r>
        <w:rPr>
          <w:highlight w:val="none"/>
        </w:rPr>
      </w:r>
      <w:bookmarkStart w:id="27" w:name="_Toc13393"/>
      <w:r>
        <w:rPr>
          <w:rFonts w:hint="eastAsia" w:ascii="宋体" w:hAnsi="宋体" w:eastAsia="宋体" w:cs="宋体"/>
          <w:b/>
          <w:bCs/>
          <w:sz w:val="24"/>
          <w:highlight w:val="none"/>
        </w:rPr>
        <w:t xml:space="preserve">14. </w:t>
      </w:r>
      <w:r>
        <w:rPr>
          <w:rFonts w:hint="eastAsia" w:ascii="宋体" w:hAnsi="宋体" w:eastAsia="宋体" w:cs="宋体"/>
          <w:b/>
          <w:sz w:val="24"/>
          <w:highlight w:val="none"/>
        </w:rPr>
        <w:t xml:space="preserve">售后服务</w:t>
      </w:r>
      <w:bookmarkEnd w:id="27"/>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14.1 </w:t>
      </w:r>
      <w:r>
        <w:rPr>
          <w:rFonts w:hint="eastAsia" w:ascii="宋体" w:hAnsi="宋体" w:eastAsia="宋体" w:cs="宋体"/>
          <w:szCs w:val="21"/>
          <w:highlight w:val="none"/>
        </w:rPr>
        <w:t xml:space="preserve">除项目</w:t>
      </w:r>
      <w:r>
        <w:rPr>
          <w:rFonts w:hint="eastAsia" w:ascii="宋体" w:hAnsi="宋体" w:eastAsia="宋体" w:cs="宋体"/>
          <w:szCs w:val="21"/>
          <w:highlight w:val="none"/>
        </w:rPr>
        <w:t xml:space="preserve">不涉及或采购活动中明确约定无须承担外，乙方还应提供下列服务：</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（1）货物的现场移动、安装、调试、启动监督及技术支持；</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（2）提供货物组装和维修所需的专用工具和辅助材料；</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21"/>
          <w:highlight w:val="none"/>
        </w:rPr>
        <w:t xml:space="preserve">约定的期限内对所有的货物实施运行监督、维修，但前提条件是该服务并不能免除乙方在质量保证期内所承担的义务；</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rPr>
          <w:highlight w:val="none"/>
        </w:rPr>
      </w:r>
      <w:r>
        <w:rPr>
          <w:highlight w:val="none"/>
        </w:rPr>
      </w:r>
    </w:p>
    <w:p>
      <w:pPr>
        <w:pStyle w:val="1024"/>
        <w:ind w:firstLine="420"/>
        <w:spacing w:line="360" w:lineRule="auto"/>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规定由乙方提供的其他服务。</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14.2 乙方提供的售后服务的费用已包含在合同价款中，甲方不再另行支付。</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28" w:name="_Toc24209"/>
      <w:r>
        <w:rPr>
          <w:rFonts w:hint="eastAsia" w:ascii="宋体" w:hAnsi="宋体" w:eastAsia="宋体" w:cs="宋体"/>
          <w:b/>
          <w:bCs/>
          <w:sz w:val="24"/>
          <w:highlight w:val="none"/>
        </w:rPr>
        <w:t xml:space="preserve">15. 违约责任</w:t>
      </w:r>
      <w:bookmarkEnd w:id="28"/>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15.1质量瑕疵的违约责任</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乙方提供的产品不符合合同约定的质量标准或存在产品质量缺陷，甲方有权要求乙方根据</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要求</w:t>
      </w:r>
      <w:r>
        <w:rPr>
          <w:rFonts w:hint="eastAsia" w:ascii="宋体" w:hAnsi="宋体" w:eastAsia="宋体" w:cs="宋体"/>
          <w:szCs w:val="21"/>
          <w:highlight w:val="none"/>
        </w:rPr>
        <w:t xml:space="preserve">及时修理、重作、更换，并承担由此给甲方造成的损失。</w:t>
      </w:r>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15.2 迟延交货的违约责任</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规定执行。如果涉及公共利益，且赔偿金额无法弥补公共利益损失，甲方可要求继续履行或者采取其他补救措施。</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15.3 迟延支付的违约责任</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甲方存在迟延支付乙方合同款项的，应当承担</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规定的逾期付款利息。</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bCs/>
          <w:szCs w:val="21"/>
          <w:highlight w:val="none"/>
        </w:rPr>
        <w:t xml:space="preserve">15.4其他违约责任根据项目实际需要按</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规定执行。</w:t>
      </w:r>
      <w:r>
        <w:rPr>
          <w:highlight w:val="none"/>
        </w:rPr>
      </w:r>
      <w:r>
        <w:rPr>
          <w:highlight w:val="none"/>
        </w:rPr>
      </w:r>
    </w:p>
    <w:p>
      <w:pPr>
        <w:numPr>
          <w:ilvl w:val="0"/>
          <w:numId w:val="6"/>
        </w:numPr>
        <w:spacing w:line="360" w:lineRule="auto"/>
        <w:widowControl w:val="off"/>
        <w:rPr>
          <w:rFonts w:ascii="宋体" w:hAnsi="宋体" w:eastAsia="宋体" w:cs="宋体"/>
          <w:b/>
          <w:sz w:val="24"/>
          <w:highlight w:val="none"/>
        </w:rPr>
      </w:pPr>
      <w:r>
        <w:rPr>
          <w:highlight w:val="none"/>
        </w:rPr>
      </w:r>
      <w:bookmarkStart w:id="29" w:name="_Toc19657"/>
      <w:r>
        <w:rPr>
          <w:rFonts w:hint="eastAsia" w:ascii="宋体" w:hAnsi="宋体" w:eastAsia="宋体" w:cs="宋体"/>
          <w:b/>
          <w:sz w:val="24"/>
          <w:highlight w:val="none"/>
        </w:rPr>
        <w:t xml:space="preserve">合同变更、中止与终止</w:t>
      </w:r>
      <w:bookmarkEnd w:id="29"/>
      <w:r>
        <w:rPr>
          <w:highlight w:val="none"/>
        </w:rPr>
      </w:r>
      <w:r>
        <w:rPr>
          <w:highlight w:val="none"/>
        </w:rPr>
      </w:r>
    </w:p>
    <w:p>
      <w:pP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    16.1合同的变更</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16.2合同的中止</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（1）合同履行过程中因供应商就采购文件、采购过程或结果提起投诉的，甲方认为有必要时，可以中止合同的履行。</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rPr>
          <w:highlight w:val="none"/>
        </w:rPr>
      </w:r>
    </w:p>
    <w:p>
      <w:pPr>
        <w:ind w:firstLine="400"/>
        <w:spacing w:line="360" w:lineRule="auto"/>
        <w:rPr>
          <w:rFonts w:ascii="宋体" w:hAnsi="宋体" w:eastAsia="宋体" w:cs="宋体"/>
          <w:highlight w:val="none"/>
        </w:rPr>
      </w:pPr>
      <w:r>
        <w:rPr>
          <w:rFonts w:hint="eastAsia" w:ascii="宋体" w:hAnsi="宋体" w:eastAsia="宋体" w:cs="宋体"/>
          <w:szCs w:val="21"/>
          <w:highlight w:val="none"/>
        </w:rPr>
        <w:t xml:space="preserve">（4）甲方不得以行政区划调整、政府换届、机构或者职能调整以及相关责任人更替为由中止合同。</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16.3合同的终止</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（1）合同因有效期限届满而终止；</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（2）乙方未按合同约定履行，构成根本性违约的，甲方有权终止合同，并追究乙方的违约责任。</w:t>
      </w:r>
      <w:r>
        <w:rPr>
          <w:highlight w:val="none"/>
        </w:rPr>
      </w:r>
      <w:r>
        <w:rPr>
          <w:highlight w:val="none"/>
        </w:rPr>
      </w:r>
    </w:p>
    <w:p>
      <w:pPr>
        <w:pStyle w:val="1024"/>
        <w:spacing w:line="360" w:lineRule="auto"/>
        <w:rPr>
          <w:rFonts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sz w:val="21"/>
          <w:highlight w:val="none"/>
        </w:rPr>
        <w:t xml:space="preserve">涉及国家利益、社会公共利益的情形</w:t>
      </w:r>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30" w:name="_Toc13672"/>
      <w:r>
        <w:rPr>
          <w:rFonts w:hint="eastAsia" w:ascii="宋体" w:hAnsi="宋体" w:eastAsia="宋体" w:cs="宋体"/>
          <w:b/>
          <w:bCs/>
          <w:sz w:val="24"/>
          <w:highlight w:val="none"/>
        </w:rPr>
        <w:t xml:space="preserve">17. 合同分包</w:t>
      </w:r>
      <w:bookmarkEnd w:id="30"/>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17.1 乙方不得将合同转包给其他供应商。涉及合同分包的，乙方应根据采购文件和投标（响应）文件规定进行合同分包。</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31" w:name="_Toc13098"/>
      <w:r>
        <w:rPr>
          <w:rFonts w:hint="eastAsia" w:ascii="宋体" w:hAnsi="宋体" w:eastAsia="宋体" w:cs="宋体"/>
          <w:b/>
          <w:bCs/>
          <w:sz w:val="24"/>
          <w:highlight w:val="none"/>
        </w:rPr>
        <w:t xml:space="preserve">18. 不可抗力</w:t>
      </w:r>
      <w:bookmarkEnd w:id="31"/>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18.1 不可抗力是指合同双方不能预见、不能避免且不能克服的客观情况。</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18.2 任何一方对由于不可抗力造成的部分或全部不能履行合同不承担违约责任。但迟延履行后发生不可抗力的，不能免除责任。</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rPr>
          <w:highlight w:val="none"/>
        </w:rPr>
      </w:r>
    </w:p>
    <w:p>
      <w:pPr>
        <w:spacing w:line="360" w:lineRule="auto"/>
        <w:rPr>
          <w:rFonts w:ascii="宋体" w:hAnsi="宋体" w:eastAsia="宋体" w:cs="宋体"/>
          <w:b/>
          <w:bCs/>
          <w:sz w:val="24"/>
          <w:highlight w:val="none"/>
        </w:rPr>
      </w:pPr>
      <w:r>
        <w:rPr>
          <w:highlight w:val="none"/>
        </w:rPr>
      </w:r>
      <w:bookmarkStart w:id="32" w:name="_Toc24247"/>
      <w:r>
        <w:rPr>
          <w:rFonts w:hint="eastAsia" w:ascii="宋体" w:hAnsi="宋体" w:eastAsia="宋体" w:cs="宋体"/>
          <w:b/>
          <w:bCs/>
          <w:sz w:val="24"/>
          <w:highlight w:val="none"/>
        </w:rPr>
        <w:t xml:space="preserve">19. 解决争议的方法</w:t>
      </w:r>
      <w:bookmarkEnd w:id="32"/>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r>
        <w:rPr>
          <w:highlight w:val="none"/>
        </w:rPr>
      </w:r>
    </w:p>
    <w:p>
      <w:pPr>
        <w:spacing w:line="360" w:lineRule="auto"/>
        <w:rPr>
          <w:rFonts w:ascii="宋体" w:hAnsi="宋体" w:eastAsia="宋体" w:cs="宋体"/>
          <w:sz w:val="24"/>
          <w:highlight w:val="none"/>
        </w:rPr>
      </w:pPr>
      <w:r>
        <w:rPr>
          <w:highlight w:val="none"/>
        </w:rPr>
      </w:r>
      <w:bookmarkStart w:id="33" w:name="_Toc19080"/>
      <w:r>
        <w:rPr>
          <w:rFonts w:hint="eastAsia" w:ascii="宋体" w:hAnsi="宋体" w:eastAsia="宋体" w:cs="宋体"/>
          <w:b/>
          <w:sz w:val="24"/>
          <w:highlight w:val="none"/>
        </w:rPr>
        <w:t xml:space="preserve">20. 政府采购政策</w:t>
      </w:r>
      <w:bookmarkEnd w:id="33"/>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20.1 </w:t>
      </w:r>
      <w:r>
        <w:rPr>
          <w:rFonts w:hint="eastAsia" w:ascii="宋体" w:hAnsi="宋体" w:eastAsia="宋体" w:cs="宋体"/>
          <w:highlight w:val="none"/>
          <w:lang w:val="en-GB"/>
        </w:rPr>
        <w:t xml:space="preserve">本合同应当按照规定执行政府采购政策。</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20.2 本合同依法执行政府采购政策的方式和内容，属于合同履约验收的范围。</w:t>
      </w:r>
      <w:r>
        <w:rPr>
          <w:rFonts w:hint="eastAsia" w:ascii="宋体" w:hAnsi="宋体" w:eastAsia="宋体" w:cs="宋体"/>
          <w:highlight w:val="none"/>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eastAsia="宋体" w:cs="宋体"/>
          <w:szCs w:val="21"/>
          <w:highlight w:val="none"/>
        </w:rPr>
        <w:t xml:space="preserve">，有过错的一方应当承担赔偿责任，双方都有过错的，各自承担相应的责任。</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20.3 对于为落实中小企业支持政策，通过采购项目整体预留、设置采购</w:t>
      </w:r>
      <w:r>
        <w:rPr>
          <w:rFonts w:hint="eastAsia" w:ascii="宋体" w:hAnsi="宋体" w:eastAsia="宋体" w:cs="宋体"/>
          <w:szCs w:val="21"/>
          <w:highlight w:val="none"/>
        </w:rPr>
        <w:t xml:space="preserve">包专门</w:t>
      </w:r>
      <w:r>
        <w:rPr>
          <w:rFonts w:hint="eastAsia" w:ascii="宋体" w:hAnsi="宋体" w:eastAsia="宋体" w:cs="宋体"/>
          <w:szCs w:val="21"/>
          <w:highlight w:val="none"/>
        </w:rPr>
        <w:t xml:space="preserve">预留、要求以联合体形</w:t>
      </w:r>
      <w:r>
        <w:rPr>
          <w:rFonts w:hint="eastAsia" w:ascii="宋体" w:hAnsi="宋体" w:eastAsia="宋体" w:cs="宋体"/>
          <w:szCs w:val="21"/>
          <w:highlight w:val="none"/>
        </w:rPr>
        <w:t xml:space="preserve">式参加</w:t>
      </w:r>
      <w:r>
        <w:rPr>
          <w:rFonts w:hint="eastAsia" w:ascii="宋体" w:hAnsi="宋体" w:eastAsia="宋体" w:cs="宋体"/>
          <w:szCs w:val="21"/>
          <w:highlight w:val="none"/>
        </w:rPr>
        <w:t xml:space="preserve">或者合同分包等措施签订的采购合同，应当明确标注本合同为中小企业预留合同。其中，要求以联合体形</w:t>
      </w:r>
      <w:r>
        <w:rPr>
          <w:rFonts w:hint="eastAsia" w:ascii="宋体" w:hAnsi="宋体" w:eastAsia="宋体" w:cs="宋体"/>
          <w:szCs w:val="21"/>
          <w:highlight w:val="none"/>
        </w:rPr>
        <w:t xml:space="preserve">式参加</w:t>
      </w:r>
      <w:r>
        <w:rPr>
          <w:rFonts w:hint="eastAsia" w:ascii="宋体" w:hAnsi="宋体" w:eastAsia="宋体" w:cs="宋体"/>
          <w:szCs w:val="21"/>
          <w:highlight w:val="none"/>
        </w:rPr>
        <w:t xml:space="preserve">采购活动或者合同分包的，须将联合协议或者分包意向协议作为采购合同的组成部分。</w:t>
      </w:r>
      <w:r>
        <w:rPr>
          <w:highlight w:val="none"/>
        </w:rPr>
      </w:r>
      <w:r>
        <w:rPr>
          <w:highlight w:val="none"/>
        </w:rPr>
      </w:r>
    </w:p>
    <w:p>
      <w:pPr>
        <w:spacing w:line="360" w:lineRule="auto"/>
        <w:rPr>
          <w:rFonts w:ascii="宋体" w:hAnsi="宋体" w:eastAsia="宋体" w:cs="宋体"/>
          <w:b/>
          <w:sz w:val="24"/>
          <w:highlight w:val="none"/>
        </w:rPr>
      </w:pPr>
      <w:r>
        <w:rPr>
          <w:highlight w:val="none"/>
        </w:rPr>
      </w:r>
      <w:bookmarkStart w:id="34" w:name="_Toc25820"/>
      <w:r>
        <w:rPr>
          <w:rFonts w:hint="eastAsia" w:ascii="宋体" w:hAnsi="宋体" w:eastAsia="宋体" w:cs="宋体"/>
          <w:b/>
          <w:sz w:val="24"/>
          <w:highlight w:val="none"/>
        </w:rPr>
        <w:t xml:space="preserve">21. 法律适用</w:t>
      </w:r>
      <w:bookmarkEnd w:id="34"/>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r>
        <w:rPr>
          <w:highlight w:val="none"/>
        </w:rPr>
      </w:r>
    </w:p>
    <w:p>
      <w:pPr>
        <w:spacing w:line="360" w:lineRule="auto"/>
        <w:rPr>
          <w:rFonts w:ascii="宋体" w:hAnsi="宋体" w:eastAsia="宋体" w:cs="宋体"/>
          <w:b/>
          <w:sz w:val="24"/>
          <w:highlight w:val="none"/>
        </w:rPr>
      </w:pPr>
      <w:r>
        <w:rPr>
          <w:highlight w:val="none"/>
        </w:rPr>
      </w:r>
      <w:bookmarkStart w:id="35" w:name="_Toc16636"/>
      <w:r>
        <w:rPr>
          <w:rFonts w:hint="eastAsia" w:ascii="宋体" w:hAnsi="宋体" w:eastAsia="宋体" w:cs="宋体"/>
          <w:b/>
          <w:sz w:val="24"/>
          <w:highlight w:val="none"/>
        </w:rPr>
        <w:t xml:space="preserve">22. 通知</w:t>
      </w:r>
      <w:bookmarkEnd w:id="35"/>
      <w:r>
        <w:rPr>
          <w:highlight w:val="none"/>
        </w:rPr>
      </w:r>
      <w:r>
        <w:rPr>
          <w:highlight w:val="none"/>
        </w:rPr>
      </w:r>
    </w:p>
    <w:p>
      <w:pPr>
        <w:pStyle w:val="1024"/>
        <w:ind w:firstLine="42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22.1 本合同任何</w:t>
      </w:r>
      <w:r>
        <w:rPr>
          <w:rFonts w:hint="eastAsia" w:ascii="宋体" w:hAnsi="宋体" w:eastAsia="宋体" w:cs="宋体"/>
          <w:sz w:val="21"/>
          <w:highlight w:val="none"/>
        </w:rPr>
        <w:t xml:space="preserve">一</w:t>
      </w:r>
      <w:r>
        <w:rPr>
          <w:rFonts w:hint="eastAsia" w:ascii="宋体" w:hAnsi="宋体" w:eastAsia="宋体" w:cs="宋体"/>
          <w:sz w:val="21"/>
          <w:highlight w:val="none"/>
        </w:rPr>
        <w:t xml:space="preserve">方向对方发出的通知、信件、数据电文等，应当发送至本合同第一部分《政府采购合同协议书》所约定的通讯地址、联系人、联系电话或电子邮箱。</w:t>
      </w:r>
      <w:r>
        <w:rPr>
          <w:highlight w:val="none"/>
        </w:rPr>
      </w:r>
      <w:r>
        <w:rPr>
          <w:highlight w:val="none"/>
        </w:rPr>
      </w:r>
    </w:p>
    <w:p>
      <w:pPr>
        <w:pStyle w:val="1024"/>
        <w:ind w:firstLine="0"/>
        <w:jc w:val="both"/>
        <w:spacing w:line="360" w:lineRule="auto"/>
        <w:rPr>
          <w:rFonts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22.3本合同一方给另一方的通知均应采用书面形式，传真或快递送到本合同中规定的对方的地址和办理签收手续。</w:t>
      </w:r>
      <w:r>
        <w:rPr>
          <w:highlight w:val="none"/>
        </w:rPr>
      </w:r>
      <w:r>
        <w:rPr>
          <w:highlight w:val="none"/>
        </w:rPr>
      </w:r>
    </w:p>
    <w:p>
      <w:pPr>
        <w:ind w:firstLine="40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22.4通知以送达之日或通知书中规定的生效之日起生效，两者中以较迟之日为准。</w:t>
      </w:r>
      <w:r>
        <w:rPr>
          <w:highlight w:val="none"/>
        </w:rPr>
      </w:r>
      <w:r>
        <w:rPr>
          <w:highlight w:val="none"/>
        </w:rPr>
      </w:r>
    </w:p>
    <w:p>
      <w:pPr>
        <w:numPr>
          <w:ilvl w:val="0"/>
          <w:numId w:val="7"/>
        </w:numPr>
        <w:spacing w:line="360" w:lineRule="auto"/>
        <w:widowControl w:val="off"/>
        <w:rPr>
          <w:rFonts w:ascii="宋体" w:hAnsi="宋体" w:eastAsia="宋体" w:cs="宋体"/>
          <w:b/>
          <w:bCs/>
          <w:sz w:val="24"/>
          <w:highlight w:val="none"/>
        </w:rPr>
      </w:pPr>
      <w:r>
        <w:rPr>
          <w:highlight w:val="none"/>
        </w:rPr>
      </w:r>
      <w:bookmarkStart w:id="36" w:name="_Toc7670"/>
      <w:r>
        <w:rPr>
          <w:rFonts w:hint="eastAsia" w:ascii="宋体" w:hAnsi="宋体" w:eastAsia="宋体" w:cs="宋体"/>
          <w:b/>
          <w:bCs/>
          <w:sz w:val="24"/>
          <w:highlight w:val="none"/>
        </w:rPr>
        <w:t xml:space="preserve">合同未尽事项</w:t>
      </w:r>
      <w:bookmarkEnd w:id="36"/>
      <w:r>
        <w:rPr>
          <w:highlight w:val="none"/>
        </w:rPr>
      </w:r>
      <w:r>
        <w:rPr>
          <w:highlight w:val="none"/>
        </w:rPr>
      </w:r>
    </w:p>
    <w:p>
      <w:pPr>
        <w:ind w:firstLine="40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23.1合同未尽事项见</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w:t>
      </w:r>
      <w:r>
        <w:rPr>
          <w:highlight w:val="none"/>
        </w:rPr>
      </w:r>
      <w:r>
        <w:rPr>
          <w:highlight w:val="none"/>
        </w:rPr>
      </w:r>
    </w:p>
    <w:p>
      <w:pPr>
        <w:spacing w:line="360" w:lineRule="auto"/>
        <w:rPr>
          <w:rFonts w:ascii="宋体" w:hAnsi="宋体" w:eastAsia="宋体" w:cs="宋体"/>
          <w:sz w:val="28"/>
          <w:szCs w:val="28"/>
          <w:highlight w:val="none"/>
        </w:rPr>
      </w:pPr>
      <w:r>
        <w:rPr>
          <w:rFonts w:hint="eastAsia" w:ascii="宋体" w:hAnsi="宋体" w:eastAsia="宋体" w:cs="宋体"/>
          <w:bCs/>
          <w:szCs w:val="21"/>
          <w:highlight w:val="none"/>
        </w:rPr>
        <w:t xml:space="preserve">    23.2 合同附件与合同正文具有同等的法律效力。</w:t>
      </w:r>
      <w:bookmarkStart w:id="37" w:name="_Toc20313"/>
      <w:r>
        <w:rPr>
          <w:rFonts w:hint="eastAsia" w:ascii="宋体" w:hAnsi="宋体" w:eastAsia="宋体" w:cs="宋体"/>
          <w:sz w:val="28"/>
          <w:szCs w:val="28"/>
          <w:highlight w:val="none"/>
        </w:rPr>
        <w:br w:type="page" w:clear="all"/>
      </w:r>
      <w:r>
        <w:rPr>
          <w:highlight w:val="none"/>
        </w:rPr>
      </w:r>
      <w:r>
        <w:rPr>
          <w:highlight w:val="none"/>
        </w:rPr>
      </w:r>
    </w:p>
    <w:p>
      <w:pPr>
        <w:jc w:val="center"/>
        <w:spacing w:line="360" w:lineRule="auto"/>
        <w:rPr>
          <w:rFonts w:ascii="宋体" w:hAnsi="宋体" w:eastAsia="宋体" w:cs="宋体"/>
          <w:b/>
          <w:bCs/>
          <w:sz w:val="28"/>
          <w:szCs w:val="28"/>
          <w:highlight w:val="none"/>
        </w:rPr>
        <w:outlineLvl w:val="1"/>
      </w:pPr>
      <w:r>
        <w:rPr>
          <w:highlight w:val="none"/>
        </w:rPr>
      </w:r>
      <w:bookmarkStart w:id="38" w:name="_Toc6892"/>
      <w:r>
        <w:rPr>
          <w:rFonts w:hint="eastAsia" w:ascii="宋体" w:hAnsi="宋体" w:eastAsia="宋体" w:cs="宋体"/>
          <w:b/>
          <w:bCs/>
          <w:sz w:val="28"/>
          <w:szCs w:val="28"/>
          <w:highlight w:val="none"/>
        </w:rPr>
        <w:t xml:space="preserve">第三节 政府采购合同专用条款</w:t>
      </w:r>
      <w:bookmarkEnd w:id="37"/>
      <w:r>
        <w:rPr>
          <w:highlight w:val="none"/>
        </w:rPr>
      </w:r>
      <w:bookmarkEnd w:id="38"/>
      <w:r>
        <w:rPr>
          <w:highlight w:val="none"/>
        </w:rPr>
      </w:r>
      <w:r>
        <w:rPr>
          <w:highlight w:val="none"/>
        </w:rPr>
      </w:r>
    </w:p>
    <w:tbl>
      <w:tblPr>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第二节第1.2（6）项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联合体具体要求</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50"/>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第二节第1.2（7）项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其他术语解释</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614"/>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第二节第4.4款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履约验收中甲方提出异议或</w:t>
            </w:r>
            <w:r>
              <w:rPr>
                <w:rFonts w:hint="eastAsia" w:ascii="宋体" w:hAnsi="宋体" w:eastAsia="宋体" w:cs="宋体"/>
                <w:szCs w:val="21"/>
                <w:highlight w:val="none"/>
              </w:rPr>
              <w:t xml:space="preserve">作出</w:t>
            </w:r>
            <w:r>
              <w:rPr>
                <w:rFonts w:hint="eastAsia" w:ascii="宋体" w:hAnsi="宋体" w:eastAsia="宋体" w:cs="宋体"/>
                <w:szCs w:val="21"/>
                <w:highlight w:val="none"/>
              </w:rPr>
              <w:t xml:space="preserve">说明的期限</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633"/>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第二节第4.6款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约定甲方承担的其他义务和责任</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608"/>
        </w:trPr>
        <w:tc>
          <w:tcPr>
            <w:tcW w:w="2507" w:type="dxa"/>
            <w:vAlign w:val="center"/>
            <w:textDirection w:val="lrTb"/>
            <w:noWrap w:val="false"/>
          </w:tcPr>
          <w:p>
            <w:pPr>
              <w:jc w:val="center"/>
              <w:rPr>
                <w:rFonts w:ascii="宋体" w:hAnsi="宋体" w:eastAsia="宋体" w:cs="宋体"/>
                <w:highlight w:val="none"/>
              </w:rPr>
            </w:pPr>
            <w:r>
              <w:rPr>
                <w:rFonts w:hint="eastAsia" w:ascii="宋体" w:hAnsi="宋体" w:eastAsia="宋体" w:cs="宋体"/>
                <w:szCs w:val="21"/>
                <w:highlight w:val="none"/>
              </w:rPr>
              <w:t xml:space="preserve">第二节第5.4款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约定乙方承担的其他义务和责任</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41"/>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第二节第6.1款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履行合同义务的顺序</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49"/>
        </w:trPr>
        <w:tc>
          <w:tcPr>
            <w:tcW w:w="2507" w:type="dxa"/>
            <w:vAlign w:val="center"/>
            <w:vMerge w:val="restar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第二节第7.1款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包装特殊要求</w:t>
            </w:r>
            <w:r>
              <w:rPr>
                <w:highlight w:val="none"/>
              </w:rPr>
            </w:r>
            <w:r>
              <w:rPr>
                <w:highlight w:val="none"/>
              </w:rPr>
            </w:r>
          </w:p>
        </w:tc>
        <w:tc>
          <w:tcPr>
            <w:tcW w:w="370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rPr>
                <w:highlight w:val="none"/>
              </w:rPr>
            </w:r>
            <w:r>
              <w:rPr>
                <w:highlight w:val="none"/>
              </w:rPr>
            </w:r>
          </w:p>
        </w:tc>
      </w:tr>
      <w:tr>
        <w:trPr>
          <w:trHeight w:val="250"/>
        </w:trPr>
        <w:tc>
          <w:tcPr>
            <w:tcW w:w="2507"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指定现场</w:t>
            </w:r>
            <w:r>
              <w:rPr>
                <w:highlight w:val="none"/>
              </w:rPr>
            </w:r>
            <w:r>
              <w:rPr>
                <w:highlight w:val="none"/>
              </w:rPr>
            </w:r>
          </w:p>
        </w:tc>
        <w:tc>
          <w:tcPr>
            <w:tcW w:w="370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rPr>
                <w:highlight w:val="none"/>
              </w:rPr>
            </w:r>
            <w:r>
              <w:rPr>
                <w:highlight w:val="none"/>
              </w:rPr>
            </w:r>
          </w:p>
        </w:tc>
      </w:tr>
      <w:tr>
        <w:trPr>
          <w:trHeight w:val="417"/>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第二节第7.2款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运输特殊要求</w:t>
            </w:r>
            <w:r>
              <w:rPr>
                <w:highlight w:val="none"/>
              </w:rPr>
            </w:r>
            <w:r>
              <w:rPr>
                <w:highlight w:val="none"/>
              </w:rPr>
            </w:r>
          </w:p>
        </w:tc>
        <w:tc>
          <w:tcPr>
            <w:tcW w:w="370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rPr>
                <w:highlight w:val="none"/>
              </w:rPr>
            </w:r>
            <w:r>
              <w:rPr>
                <w:highlight w:val="none"/>
              </w:rPr>
            </w:r>
          </w:p>
        </w:tc>
      </w:tr>
      <w:tr>
        <w:trPr>
          <w:trHeight w:val="312"/>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第二节第7.3款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保险要求</w:t>
            </w:r>
            <w:r>
              <w:rPr>
                <w:highlight w:val="none"/>
              </w:rPr>
            </w:r>
            <w:r>
              <w:rPr>
                <w:highlight w:val="none"/>
              </w:rPr>
            </w:r>
          </w:p>
        </w:tc>
        <w:tc>
          <w:tcPr>
            <w:tcW w:w="3700"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rPr>
                <w:highlight w:val="none"/>
              </w:rPr>
            </w:r>
            <w:r>
              <w:rPr>
                <w:highlight w:val="none"/>
              </w:rPr>
            </w:r>
          </w:p>
        </w:tc>
      </w:tr>
      <w:tr>
        <w:trPr>
          <w:trHeight w:val="331"/>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第二节第8.2（1）项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质量保证期</w:t>
            </w:r>
            <w:r>
              <w:rPr>
                <w:highlight w:val="none"/>
              </w:rPr>
            </w:r>
            <w:r>
              <w:rPr>
                <w:highlight w:val="none"/>
              </w:rPr>
            </w:r>
          </w:p>
        </w:tc>
        <w:tc>
          <w:tcPr>
            <w:tcW w:w="3700" w:type="dxa"/>
            <w:vAlign w:val="center"/>
            <w:textDirection w:val="lrTb"/>
            <w:noWrap w:val="false"/>
          </w:tcPr>
          <w:p>
            <w:pPr>
              <w:ind w:firstLine="400"/>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18"/>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第二节第8.2（3）项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货物质量缺陷响应时间</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18"/>
        </w:trPr>
        <w:tc>
          <w:tcPr>
            <w:tcW w:w="2507" w:type="dxa"/>
            <w:vAlign w:val="center"/>
            <w:textDirection w:val="lrTb"/>
            <w:noWrap w:val="false"/>
          </w:tcPr>
          <w:p>
            <w:pPr>
              <w:jc w:val="center"/>
              <w:rPr>
                <w:rFonts w:ascii="宋体" w:hAnsi="宋体" w:eastAsia="宋体" w:cs="宋体"/>
                <w:highlight w:val="none"/>
              </w:rPr>
            </w:pPr>
            <w:r>
              <w:rPr>
                <w:rFonts w:hint="eastAsia" w:ascii="宋体" w:hAnsi="宋体" w:eastAsia="宋体" w:cs="宋体"/>
                <w:szCs w:val="21"/>
                <w:highlight w:val="none"/>
              </w:rPr>
              <w:t xml:space="preserve">第二节第11.1款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其他应当保密的信息</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02"/>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第二节第12.2款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合同价款支付时间</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492"/>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第二节第13.2款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履约保证金不予退还的情形</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658"/>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第二节第13.3款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履约保证金退还时间及逾期退还的违约金</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11"/>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第二节第14.1（3）项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运行监督、维修期限</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316"/>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第二节第14.1（5）项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货物回收的约定</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231"/>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第二节第14.1（6）项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乙方提供的其他服务</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596"/>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第二节第15.1款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修理、重做、更换相关具体规定</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r>
        <w:trPr>
          <w:trHeight w:val="266"/>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第二节第15.2（2）项</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迟延交货赔偿费</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u w:val="single"/>
              </w:rPr>
            </w:pPr>
            <w:r>
              <w:rPr>
                <w:rFonts w:ascii="宋体" w:hAnsi="宋体" w:eastAsia="宋体" w:cs="宋体"/>
                <w:szCs w:val="21"/>
                <w:highlight w:val="none"/>
                <w:u w:val="single"/>
              </w:rPr>
            </w:r>
            <w:r>
              <w:rPr>
                <w:highlight w:val="none"/>
              </w:rPr>
            </w:r>
            <w:r>
              <w:rPr>
                <w:highlight w:val="none"/>
              </w:rPr>
            </w:r>
          </w:p>
        </w:tc>
      </w:tr>
      <w:tr>
        <w:trPr>
          <w:trHeight w:val="293"/>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第二节第15.3款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逾期付款利息</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u w:val="single"/>
              </w:rPr>
            </w:pPr>
            <w:r>
              <w:rPr>
                <w:rFonts w:ascii="宋体" w:hAnsi="宋体" w:eastAsia="宋体" w:cs="宋体"/>
                <w:szCs w:val="21"/>
                <w:highlight w:val="none"/>
                <w:u w:val="single"/>
              </w:rPr>
            </w:r>
            <w:r>
              <w:rPr>
                <w:highlight w:val="none"/>
              </w:rPr>
            </w:r>
            <w:r>
              <w:rPr>
                <w:highlight w:val="none"/>
              </w:rPr>
            </w:r>
          </w:p>
        </w:tc>
      </w:tr>
      <w:tr>
        <w:trPr>
          <w:trHeight w:val="304"/>
        </w:trPr>
        <w:tc>
          <w:tcPr>
            <w:tcBorders>
              <w:bottom w:val="single" w:color="auto" w:sz="2" w:space="0"/>
              <w:right w:val="single" w:color="auto" w:sz="2" w:space="0"/>
            </w:tcBorders>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第二节第15.4款</w:t>
            </w:r>
            <w:r>
              <w:rPr>
                <w:highlight w:val="none"/>
              </w:rPr>
            </w:r>
            <w:r>
              <w:rPr>
                <w:highlight w:val="none"/>
              </w:rP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其他违约责任</w:t>
            </w:r>
            <w:r>
              <w:rPr>
                <w:highlight w:val="none"/>
              </w:rPr>
            </w:r>
            <w:r>
              <w:rPr>
                <w:highlight w:val="none"/>
              </w:rPr>
            </w:r>
          </w:p>
        </w:tc>
        <w:tc>
          <w:tcPr>
            <w:tcBorders>
              <w:left w:val="single" w:color="auto" w:sz="2" w:space="0"/>
              <w:bottom w:val="single" w:color="auto" w:sz="2" w:space="0"/>
            </w:tcBorders>
            <w:tcW w:w="3700" w:type="dxa"/>
            <w:vAlign w:val="center"/>
            <w:textDirection w:val="lrTb"/>
            <w:noWrap w:val="false"/>
          </w:tcPr>
          <w:p>
            <w:pPr>
              <w:jc w:val="center"/>
              <w:rPr>
                <w:rFonts w:ascii="宋体" w:hAnsi="宋体" w:eastAsia="宋体" w:cs="宋体"/>
                <w:szCs w:val="21"/>
                <w:highlight w:val="none"/>
                <w:u w:val="single"/>
              </w:rPr>
            </w:pPr>
            <w:r>
              <w:rPr>
                <w:rFonts w:ascii="宋体" w:hAnsi="宋体" w:eastAsia="宋体" w:cs="宋体"/>
                <w:szCs w:val="21"/>
                <w:highlight w:val="none"/>
                <w:u w:val="single"/>
              </w:rPr>
            </w:r>
            <w:r>
              <w:rPr>
                <w:highlight w:val="none"/>
              </w:rPr>
            </w:r>
            <w:r>
              <w:rPr>
                <w:highlight w:val="none"/>
              </w:rPr>
            </w:r>
          </w:p>
        </w:tc>
      </w:tr>
      <w:tr>
        <w:trPr>
          <w:trHeight w:val="90"/>
        </w:trPr>
        <w:tc>
          <w:tcPr>
            <w:tcBorders>
              <w:top w:val="single" w:color="auto" w:sz="2" w:space="0"/>
              <w:right w:val="single" w:color="auto" w:sz="2" w:space="0"/>
            </w:tcBorders>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第二节第19.2款</w:t>
            </w:r>
            <w:r>
              <w:rPr>
                <w:highlight w:val="none"/>
              </w:rPr>
            </w:r>
            <w:r>
              <w:rPr>
                <w:highlight w:val="none"/>
              </w:rPr>
            </w:r>
          </w:p>
        </w:tc>
        <w:tc>
          <w:tcPr>
            <w:tcBorders>
              <w:top w:val="single" w:color="auto" w:sz="2" w:space="0"/>
              <w:left w:val="single" w:color="auto" w:sz="2" w:space="0"/>
              <w:right w:val="single" w:color="auto" w:sz="2" w:space="0"/>
            </w:tcBorders>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解决争议的方法</w:t>
            </w:r>
            <w:r>
              <w:rPr>
                <w:highlight w:val="none"/>
              </w:rPr>
            </w:r>
            <w:r>
              <w:rPr>
                <w:highlight w:val="none"/>
              </w:rPr>
            </w:r>
          </w:p>
        </w:tc>
        <w:tc>
          <w:tcPr>
            <w:tcBorders>
              <w:top w:val="single" w:color="auto" w:sz="2" w:space="0"/>
              <w:left w:val="single" w:color="auto" w:sz="2" w:space="0"/>
            </w:tcBorders>
            <w:tcW w:w="3700" w:type="dxa"/>
            <w:vAlign w:val="center"/>
            <w:textDirection w:val="lrTb"/>
            <w:noWrap w:val="false"/>
          </w:tcPr>
          <w:p>
            <w:pPr>
              <w:jc w:val="center"/>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种方式解决：</w:t>
            </w:r>
            <w:r>
              <w:rPr>
                <w:highlight w:val="none"/>
              </w:rPr>
            </w:r>
            <w:r>
              <w:rPr>
                <w:highlight w:val="none"/>
              </w:rPr>
            </w:r>
          </w:p>
          <w:p>
            <w:pPr>
              <w:jc w:val="center"/>
              <w:rPr>
                <w:rFonts w:ascii="宋体" w:hAnsi="宋体" w:eastAsia="宋体" w:cs="宋体"/>
                <w:iCs/>
                <w:szCs w:val="21"/>
                <w:highlight w:val="none"/>
              </w:rPr>
            </w:pPr>
            <w:r>
              <w:rPr>
                <w:rFonts w:hint="eastAsia" w:ascii="宋体" w:hAnsi="宋体" w:eastAsia="宋体" w:cs="宋体"/>
                <w:iCs/>
                <w:szCs w:val="21"/>
                <w:highlight w:val="none"/>
              </w:rPr>
              <w:t xml:space="preserve">（1）向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仲裁委员会申请仲裁，仲裁地点为</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w:t>
            </w:r>
            <w:r>
              <w:rPr>
                <w:highlight w:val="none"/>
              </w:rPr>
            </w:r>
            <w:r>
              <w:rPr>
                <w:highlight w:val="none"/>
              </w:rPr>
            </w:r>
          </w:p>
          <w:p>
            <w:pPr>
              <w:jc w:val="center"/>
              <w:rPr>
                <w:rFonts w:ascii="宋体" w:hAnsi="宋体" w:eastAsia="宋体" w:cs="宋体"/>
                <w:szCs w:val="21"/>
                <w:highlight w:val="none"/>
                <w:u w:val="single"/>
              </w:rPr>
            </w:pPr>
            <w:r>
              <w:rPr>
                <w:rFonts w:hint="eastAsia" w:ascii="宋体" w:hAnsi="宋体" w:eastAsia="宋体" w:cs="宋体"/>
                <w:iCs/>
                <w:szCs w:val="21"/>
                <w:highlight w:val="none"/>
              </w:rPr>
              <w:t xml:space="preserve">（2）向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人民法院起诉。</w:t>
            </w:r>
            <w:r>
              <w:rPr>
                <w:highlight w:val="none"/>
              </w:rPr>
            </w:r>
            <w:r>
              <w:rPr>
                <w:highlight w:val="none"/>
              </w:rPr>
            </w:r>
          </w:p>
        </w:tc>
      </w:tr>
      <w:tr>
        <w:trPr>
          <w:trHeight w:val="532"/>
        </w:trPr>
        <w:tc>
          <w:tcPr>
            <w:tcW w:w="25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第二节第23.1款</w:t>
            </w:r>
            <w:r>
              <w:rPr>
                <w:highlight w:val="none"/>
              </w:rPr>
            </w:r>
            <w:r>
              <w:rPr>
                <w:highlight w:val="none"/>
              </w:rPr>
            </w:r>
          </w:p>
        </w:tc>
        <w:tc>
          <w:tcPr>
            <w:tcW w:w="2825"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bCs/>
                <w:szCs w:val="21"/>
                <w:highlight w:val="none"/>
              </w:rPr>
              <w:t xml:space="preserve">其他专用条款</w:t>
            </w:r>
            <w:r>
              <w:rPr>
                <w:highlight w:val="none"/>
              </w:rPr>
            </w:r>
            <w:r>
              <w:rPr>
                <w:highlight w:val="none"/>
              </w:rPr>
            </w:r>
          </w:p>
        </w:tc>
        <w:tc>
          <w:tcPr>
            <w:tcW w:w="3700" w:type="dxa"/>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r>
            <w:r>
              <w:rPr>
                <w:highlight w:val="none"/>
              </w:rPr>
            </w:r>
            <w:r>
              <w:rPr>
                <w:highlight w:val="none"/>
              </w:rPr>
            </w:r>
          </w:p>
        </w:tc>
      </w:tr>
    </w:tbl>
    <w:p>
      <w:pPr>
        <w:spacing w:line="480" w:lineRule="auto"/>
        <w:rPr>
          <w:sz w:val="28"/>
          <w:szCs w:val="28"/>
          <w:highlight w:val="none"/>
        </w:rPr>
      </w:pPr>
      <w:r>
        <w:rPr>
          <w:sz w:val="28"/>
          <w:szCs w:val="28"/>
          <w:highlight w:val="none"/>
        </w:rPr>
      </w:r>
      <w:r>
        <w:rPr>
          <w:highlight w:val="none"/>
        </w:rPr>
      </w:r>
      <w:r>
        <w:rPr>
          <w:highlight w:val="none"/>
        </w:rPr>
      </w:r>
    </w:p>
    <w:p>
      <w:pPr>
        <w:rPr>
          <w:sz w:val="28"/>
          <w:szCs w:val="28"/>
          <w:highlight w:val="none"/>
        </w:rPr>
      </w:pPr>
      <w:r>
        <w:rPr>
          <w:sz w:val="28"/>
          <w:szCs w:val="28"/>
          <w:highlight w:val="none"/>
        </w:rPr>
      </w:r>
      <w:r>
        <w:rPr>
          <w:highlight w:val="none"/>
        </w:rPr>
      </w:r>
      <w:r>
        <w:rPr>
          <w:highlight w:val="none"/>
        </w:rPr>
      </w:r>
    </w:p>
    <w:p>
      <w:pPr>
        <w:rPr>
          <w:rFonts w:ascii="微软雅黑" w:hAnsi="微软雅黑" w:eastAsia="微软雅黑" w:cs="微软雅黑"/>
          <w:sz w:val="40"/>
          <w:szCs w:val="40"/>
          <w:highlight w:val="none"/>
        </w:rPr>
      </w:pPr>
      <w:r>
        <w:rPr>
          <w:rFonts w:ascii="微软雅黑" w:hAnsi="微软雅黑" w:eastAsia="微软雅黑" w:cs="微软雅黑"/>
          <w:highlight w:val="none"/>
        </w:rPr>
        <w:br w:type="page" w:clear="all"/>
      </w:r>
      <w:r>
        <w:rPr>
          <w:highlight w:val="none"/>
        </w:rPr>
      </w:r>
      <w:r>
        <w:rPr>
          <w:highlight w:val="none"/>
        </w:rPr>
      </w:r>
    </w:p>
    <w:p>
      <w:pPr>
        <w:pStyle w:val="800"/>
        <w:jc w:val="center"/>
        <w:rPr>
          <w:rFonts w:ascii="宋体" w:hAnsi="宋体" w:eastAsia="宋体" w:cs="宋体"/>
          <w:highlight w:val="none"/>
        </w:rPr>
      </w:pPr>
      <w:r>
        <w:rPr>
          <w:rFonts w:hint="eastAsia" w:ascii="宋体" w:hAnsi="宋体" w:eastAsia="宋体" w:cs="宋体"/>
          <w:highlight w:val="none"/>
        </w:rPr>
        <w:t xml:space="preserve">第四章 采购需求</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项目属性</w:t>
      </w:r>
      <w:r>
        <w:rPr>
          <w:rFonts w:ascii="宋体" w:hAnsi="宋体" w:eastAsia="宋体" w:cs="宋体"/>
          <w:b/>
          <w:sz w:val="24"/>
          <w:szCs w:val="24"/>
          <w:highlight w:val="none"/>
        </w:rPr>
        <w:t xml:space="preserve">:货物类项目</w:t>
      </w:r>
      <w:r>
        <w:rPr>
          <w:highlight w:val="none"/>
        </w:rPr>
      </w:r>
      <w:r>
        <w:rPr>
          <w:highlight w:val="none"/>
        </w:rPr>
      </w:r>
    </w:p>
    <w:p>
      <w:pPr>
        <w:pStyle w:val="801"/>
        <w:spacing w:before="0" w:after="0" w:line="98"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一、采购标的清单</w:t>
      </w:r>
      <w:r>
        <w:rPr>
          <w:highlight w:val="none"/>
        </w:rPr>
      </w:r>
      <w:r>
        <w:rPr>
          <w:highlight w:val="none"/>
        </w:rPr>
      </w:r>
    </w:p>
    <w:tbl>
      <w:tblPr>
        <w:tblStyle w:val="836"/>
        <w:tblpPr w:horzAnchor="margin" w:tblpXSpec="left" w:vertAnchor="text" w:tblpY="1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7"/>
        <w:gridCol w:w="3936"/>
        <w:gridCol w:w="2126"/>
        <w:gridCol w:w="2000"/>
      </w:tblGrid>
      <w:tr>
        <w:trPr>
          <w:trHeight w:val="831"/>
        </w:trPr>
        <w:tc>
          <w:tcPr>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包号</w:t>
            </w:r>
            <w:r>
              <w:rPr>
                <w:highlight w:val="none"/>
              </w:rPr>
            </w:r>
            <w:r>
              <w:rPr>
                <w:highlight w:val="none"/>
              </w:rPr>
            </w:r>
          </w:p>
        </w:tc>
        <w:tc>
          <w:tcPr>
            <w:tcMar>
              <w:left w:w="108" w:type="dxa"/>
              <w:top w:w="0" w:type="dxa"/>
              <w:right w:w="108" w:type="dxa"/>
              <w:bottom w:w="0" w:type="dxa"/>
            </w:tcMar>
            <w:tcW w:w="393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采购标的</w:t>
            </w:r>
            <w:r>
              <w:rPr>
                <w:highlight w:val="none"/>
              </w:rPr>
            </w:r>
            <w:r>
              <w:rPr>
                <w:highlight w:val="none"/>
              </w:rPr>
            </w:r>
          </w:p>
        </w:tc>
        <w:tc>
          <w:tcPr>
            <w:tcMar>
              <w:left w:w="108" w:type="dxa"/>
              <w:top w:w="0" w:type="dxa"/>
              <w:right w:w="108" w:type="dxa"/>
              <w:bottom w:w="0" w:type="dxa"/>
            </w:tcMar>
            <w:tcW w:w="212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对应中小企业划分标准所属行业</w:t>
            </w:r>
            <w:r>
              <w:rPr>
                <w:highlight w:val="none"/>
              </w:rPr>
            </w:r>
            <w:r>
              <w:rPr>
                <w:highlight w:val="none"/>
              </w:rPr>
            </w:r>
          </w:p>
        </w:tc>
        <w:tc>
          <w:tcPr>
            <w:tcMar>
              <w:left w:w="108" w:type="dxa"/>
              <w:top w:w="0" w:type="dxa"/>
              <w:right w:w="108" w:type="dxa"/>
              <w:bottom w:w="0" w:type="dxa"/>
            </w:tcMar>
            <w:tcW w:w="200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是否属于强制环保节能产品</w:t>
            </w:r>
            <w:r>
              <w:rPr>
                <w:highlight w:val="none"/>
              </w:rPr>
            </w:r>
            <w:r>
              <w:rPr>
                <w:highlight w:val="none"/>
              </w:rPr>
            </w:r>
          </w:p>
        </w:tc>
      </w:tr>
      <w:tr>
        <w:trPr>
          <w:trHeight w:val="586"/>
        </w:trPr>
        <w:tc>
          <w:tcPr>
            <w:tcMar>
              <w:left w:w="108" w:type="dxa"/>
              <w:top w:w="0" w:type="dxa"/>
              <w:right w:w="108" w:type="dxa"/>
              <w:bottom w:w="0" w:type="dxa"/>
            </w:tcMar>
            <w:tcW w:w="737"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39" w:name="_Hlk211819789"/>
            <w:r>
              <w:rPr>
                <w:rFonts w:hint="eastAsia" w:ascii="宋体" w:hAnsi="宋体" w:eastAsia="宋体" w:cs="宋体"/>
                <w:sz w:val="24"/>
                <w:szCs w:val="24"/>
                <w:highlight w:val="none"/>
              </w:rPr>
              <w:t xml:space="preserve">01</w:t>
            </w:r>
            <w:r>
              <w:rPr>
                <w:highlight w:val="none"/>
              </w:rPr>
            </w:r>
            <w:r>
              <w:rPr>
                <w:highlight w:val="none"/>
              </w:rPr>
            </w:r>
          </w:p>
        </w:tc>
        <w:tc>
          <w:tcPr>
            <w:tcMar>
              <w:left w:w="108" w:type="dxa"/>
              <w:top w:w="0" w:type="dxa"/>
              <w:right w:w="108" w:type="dxa"/>
              <w:bottom w:w="0" w:type="dxa"/>
            </w:tcMar>
            <w:tcW w:w="393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高精度经颅磁刺激仪</w:t>
            </w:r>
            <w:r>
              <w:rPr>
                <w:highlight w:val="none"/>
              </w:rPr>
            </w:r>
            <w:r>
              <w:rPr>
                <w:highlight w:val="none"/>
              </w:rPr>
            </w:r>
          </w:p>
        </w:tc>
        <w:tc>
          <w:tcPr>
            <w:tcMar>
              <w:left w:w="108" w:type="dxa"/>
              <w:top w:w="0" w:type="dxa"/>
              <w:right w:w="108" w:type="dxa"/>
              <w:bottom w:w="0" w:type="dxa"/>
            </w:tcMar>
            <w:tcW w:w="2126"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工业</w:t>
            </w:r>
            <w:r>
              <w:rPr>
                <w:highlight w:val="none"/>
              </w:rPr>
            </w:r>
            <w:r>
              <w:rPr>
                <w:highlight w:val="none"/>
              </w:rPr>
            </w:r>
          </w:p>
        </w:tc>
        <w:tc>
          <w:tcPr>
            <w:tcMar>
              <w:left w:w="108" w:type="dxa"/>
              <w:top w:w="0" w:type="dxa"/>
              <w:right w:w="108" w:type="dxa"/>
              <w:bottom w:w="0" w:type="dxa"/>
            </w:tcMar>
            <w:tcW w:w="2000"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否</w:t>
            </w:r>
            <w:bookmarkEnd w:id="39"/>
            <w:r>
              <w:rPr>
                <w:highlight w:val="none"/>
              </w:rPr>
            </w:r>
            <w:r>
              <w:rPr>
                <w:highlight w:val="none"/>
              </w:rPr>
            </w:r>
          </w:p>
        </w:tc>
      </w:tr>
    </w:tbl>
    <w:p>
      <w:pPr>
        <w:pStyle w:val="801"/>
        <w:numPr>
          <w:ilvl w:val="0"/>
          <w:numId w:val="8"/>
        </w:numPr>
        <w:spacing w:before="0" w:after="0" w:line="276"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技术要求</w:t>
      </w:r>
      <w:r>
        <w:rPr>
          <w:highlight w:val="none"/>
        </w:rPr>
      </w:r>
      <w:r>
        <w:rPr>
          <w:highlight w:val="none"/>
        </w:rPr>
      </w:r>
    </w:p>
    <w:p>
      <w:pPr>
        <w:rPr>
          <w:highlight w:val="none"/>
        </w:rPr>
      </w:pPr>
      <w:r>
        <w:rPr>
          <w:highlight w:val="none"/>
        </w:rPr>
      </w:r>
      <w:r>
        <w:rPr>
          <w:highlight w:val="none"/>
        </w:rPr>
      </w:r>
      <w:r>
        <w:rPr>
          <w:highlight w:val="none"/>
        </w:rPr>
      </w:r>
    </w:p>
    <w:p>
      <w:pPr>
        <w:pStyle w:val="888"/>
        <w:numPr>
          <w:ilvl w:val="0"/>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主机性能：</w:t>
      </w:r>
      <w:r>
        <w:rPr>
          <w:highlight w:val="none"/>
        </w:rPr>
      </w:r>
      <w:r>
        <w:rPr>
          <w:highlight w:val="none"/>
        </w:rPr>
      </w:r>
    </w:p>
    <w:p>
      <w:pPr>
        <w:pStyle w:val="888"/>
        <w:numPr>
          <w:ilvl w:val="1"/>
          <w:numId w:val="9"/>
        </w:numPr>
        <w:spacing w:line="276" w:lineRule="auto"/>
        <w:rPr>
          <w:rFonts w:asciiTheme="minorEastAsia" w:hAnsiTheme="minorEastAsia" w:cstheme="minorEastAsia"/>
          <w:sz w:val="24"/>
          <w:szCs w:val="24"/>
          <w:highlight w:val="none"/>
        </w:rPr>
      </w:pPr>
      <w:r>
        <w:rPr>
          <w:rFonts w:hint="eastAsia" w:asciiTheme="minorEastAsia" w:hAnsiTheme="minorEastAsia" w:cstheme="minorEastAsia"/>
          <w:color w:val="000000"/>
          <w:sz w:val="24"/>
          <w:szCs w:val="24"/>
          <w:highlight w:val="none"/>
        </w:rPr>
        <w:t xml:space="preserve">▲刺激频率: 包含0.</w:t>
      </w:r>
      <w:r>
        <w:rPr>
          <w:rFonts w:hint="eastAsia" w:asciiTheme="minorEastAsia" w:hAnsiTheme="minorEastAsia" w:cstheme="minorEastAsia"/>
          <w:color w:val="000000"/>
          <w:sz w:val="24"/>
          <w:szCs w:val="24"/>
          <w:highlight w:val="none"/>
          <w:lang w:eastAsia="zh"/>
        </w:rPr>
        <w:t xml:space="preserve">0</w:t>
      </w:r>
      <w:r>
        <w:rPr>
          <w:rFonts w:hint="eastAsia" w:asciiTheme="minorEastAsia" w:hAnsiTheme="minorEastAsia" w:cstheme="minorEastAsia"/>
          <w:color w:val="000000"/>
          <w:sz w:val="24"/>
          <w:szCs w:val="24"/>
          <w:highlight w:val="none"/>
        </w:rPr>
        <w:t xml:space="preserve">1-100Hz, 允差: ±</w:t>
      </w:r>
      <w:r>
        <w:rPr>
          <w:rFonts w:hint="eastAsia" w:asciiTheme="minorEastAsia" w:hAnsiTheme="minorEastAsia" w:cstheme="minorEastAsia"/>
          <w:color w:val="000000"/>
          <w:sz w:val="24"/>
          <w:szCs w:val="24"/>
          <w:highlight w:val="none"/>
          <w:lang w:eastAsia="zh"/>
        </w:rPr>
        <w:t xml:space="preserve">1</w:t>
      </w:r>
      <w:r>
        <w:rPr>
          <w:rFonts w:hint="eastAsia" w:asciiTheme="minorEastAsia" w:hAnsiTheme="minorEastAsia" w:cstheme="minorEastAsia"/>
          <w:color w:val="000000"/>
          <w:sz w:val="24"/>
          <w:szCs w:val="24"/>
          <w:highlight w:val="none"/>
        </w:rPr>
        <w:t xml:space="preserve">% 。</w:t>
      </w:r>
      <w:r>
        <w:rPr>
          <w:highlight w:val="none"/>
        </w:rPr>
      </w:r>
      <w:r>
        <w:rPr>
          <w:highlight w:val="none"/>
        </w:rPr>
      </w:r>
    </w:p>
    <w:p>
      <w:pPr>
        <w:pStyle w:val="888"/>
        <w:numPr>
          <w:ilvl w:val="1"/>
          <w:numId w:val="9"/>
        </w:numPr>
        <w:spacing w:line="276" w:lineRule="auto"/>
        <w:rPr>
          <w:rFonts w:asciiTheme="minorEastAsia" w:hAnsiTheme="minorEastAsia" w:cstheme="minorEastAsia"/>
          <w:sz w:val="24"/>
          <w:szCs w:val="24"/>
          <w:highlight w:val="none"/>
        </w:rPr>
      </w:pPr>
      <w:r>
        <w:rPr>
          <w:rFonts w:hint="eastAsia" w:asciiTheme="minorEastAsia" w:hAnsiTheme="minorEastAsia" w:cstheme="minorEastAsia"/>
          <w:color w:val="000000"/>
          <w:sz w:val="24"/>
          <w:szCs w:val="24"/>
          <w:highlight w:val="none"/>
        </w:rPr>
        <w:t xml:space="preserve">▲刺激频率步长: 1 Hz以下步长0.01Hz,1Hz以上步长 1Hz。</w:t>
      </w:r>
      <w:r>
        <w:rPr>
          <w:highlight w:val="none"/>
        </w:rPr>
      </w:r>
      <w:r>
        <w:rPr>
          <w:highlight w:val="none"/>
        </w:rPr>
      </w:r>
    </w:p>
    <w:p>
      <w:pPr>
        <w:pStyle w:val="888"/>
        <w:numPr>
          <w:ilvl w:val="1"/>
          <w:numId w:val="9"/>
        </w:numPr>
        <w:spacing w:line="276" w:lineRule="auto"/>
        <w:rPr>
          <w:rFonts w:asciiTheme="minorEastAsia" w:hAnsiTheme="minorEastAsia" w:cstheme="minorEastAsia"/>
          <w:sz w:val="24"/>
          <w:szCs w:val="24"/>
          <w:highlight w:val="none"/>
        </w:rPr>
      </w:pPr>
      <w:r>
        <w:rPr>
          <w:rFonts w:hint="eastAsia" w:asciiTheme="minorEastAsia" w:hAnsiTheme="minorEastAsia" w:cstheme="minorEastAsia"/>
          <w:color w:val="000000"/>
          <w:sz w:val="24"/>
          <w:szCs w:val="24"/>
          <w:highlight w:val="none"/>
        </w:rPr>
        <w:t xml:space="preserve">脉冲上升时间: 40-60μs。</w:t>
      </w:r>
      <w:r>
        <w:rPr>
          <w:highlight w:val="none"/>
        </w:rPr>
      </w:r>
      <w:r>
        <w:rPr>
          <w:highlight w:val="none"/>
        </w:rPr>
      </w:r>
    </w:p>
    <w:p>
      <w:pPr>
        <w:pStyle w:val="888"/>
        <w:numPr>
          <w:ilvl w:val="1"/>
          <w:numId w:val="9"/>
        </w:numPr>
        <w:spacing w:line="276" w:lineRule="auto"/>
        <w:rPr>
          <w:rFonts w:asciiTheme="minorEastAsia" w:hAnsiTheme="minorEastAsia" w:cstheme="minorEastAsia"/>
          <w:sz w:val="24"/>
          <w:szCs w:val="24"/>
          <w:highlight w:val="none"/>
        </w:rPr>
      </w:pPr>
      <w:r>
        <w:rPr>
          <w:rFonts w:hint="eastAsia" w:asciiTheme="minorEastAsia" w:hAnsiTheme="minorEastAsia" w:cstheme="minorEastAsia"/>
          <w:color w:val="000000"/>
          <w:sz w:val="24"/>
          <w:szCs w:val="24"/>
          <w:highlight w:val="none"/>
        </w:rPr>
        <w:t xml:space="preserve">脉冲持续时间: 320-360μs。</w:t>
      </w:r>
      <w:r>
        <w:rPr>
          <w:highlight w:val="none"/>
        </w:rPr>
      </w:r>
      <w:r>
        <w:rPr>
          <w:highlight w:val="none"/>
        </w:rPr>
      </w:r>
    </w:p>
    <w:p>
      <w:pPr>
        <w:pStyle w:val="888"/>
        <w:numPr>
          <w:ilvl w:val="1"/>
          <w:numId w:val="9"/>
        </w:numPr>
        <w:spacing w:line="276" w:lineRule="auto"/>
        <w:rPr>
          <w:rFonts w:asciiTheme="minorEastAsia" w:hAnsiTheme="minorEastAsia" w:cstheme="minorEastAsia"/>
          <w:sz w:val="24"/>
          <w:szCs w:val="24"/>
          <w:highlight w:val="none"/>
        </w:rPr>
      </w:pPr>
      <w:r>
        <w:rPr>
          <w:rFonts w:hint="eastAsia" w:asciiTheme="minorEastAsia" w:hAnsiTheme="minorEastAsia" w:cstheme="minorEastAsia"/>
          <w:color w:val="000000"/>
          <w:sz w:val="24"/>
          <w:szCs w:val="24"/>
          <w:highlight w:val="none"/>
        </w:rPr>
        <w:t xml:space="preserve">▲</w:t>
      </w:r>
      <w:r>
        <w:rPr>
          <w:rFonts w:hint="eastAsia" w:asciiTheme="minorEastAsia" w:hAnsiTheme="minorEastAsia" w:cstheme="minorEastAsia"/>
          <w:color w:val="000000"/>
          <w:sz w:val="24"/>
          <w:szCs w:val="24"/>
          <w:highlight w:val="none"/>
        </w:rPr>
        <w:t xml:space="preserve">标配线圈</w:t>
      </w:r>
      <w:r>
        <w:rPr>
          <w:rFonts w:hint="eastAsia" w:asciiTheme="minorEastAsia" w:hAnsiTheme="minorEastAsia" w:cstheme="minorEastAsia"/>
          <w:color w:val="000000"/>
          <w:sz w:val="24"/>
          <w:szCs w:val="24"/>
          <w:highlight w:val="none"/>
        </w:rPr>
        <w:t xml:space="preserve">磁感应强度最大变化率范围：≥90kT/s。</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设备连续工作时，具有手动停止磁场输出功能，可以通过按键使设备立即停止工作。</w:t>
      </w:r>
      <w:r>
        <w:rPr>
          <w:highlight w:val="none"/>
        </w:rPr>
      </w:r>
      <w:r>
        <w:rPr>
          <w:highlight w:val="none"/>
        </w:rPr>
      </w:r>
    </w:p>
    <w:p>
      <w:pPr>
        <w:pStyle w:val="888"/>
        <w:numPr>
          <w:ilvl w:val="1"/>
          <w:numId w:val="9"/>
        </w:numPr>
        <w:spacing w:line="276" w:lineRule="auto"/>
        <w:rPr>
          <w:rFonts w:asciiTheme="minorEastAsia" w:hAnsiTheme="minorEastAsia" w:cstheme="minorEastAsia"/>
          <w:sz w:val="24"/>
          <w:szCs w:val="24"/>
          <w:highlight w:val="none"/>
        </w:rPr>
      </w:pPr>
      <w:r>
        <w:rPr>
          <w:rFonts w:hint="eastAsia" w:asciiTheme="minorEastAsia" w:hAnsiTheme="minorEastAsia" w:cstheme="minorEastAsia"/>
          <w:color w:val="000000"/>
          <w:sz w:val="24"/>
          <w:szCs w:val="24"/>
          <w:highlight w:val="none"/>
        </w:rPr>
        <w:t xml:space="preserve">设备使用期限</w:t>
      </w:r>
      <w:r>
        <w:rPr>
          <w:rFonts w:hint="eastAsia" w:asciiTheme="minorEastAsia" w:hAnsiTheme="minorEastAsia" w:cstheme="minorEastAsia"/>
          <w:sz w:val="24"/>
          <w:szCs w:val="24"/>
          <w:highlight w:val="none"/>
        </w:rPr>
        <w:t xml:space="preserve">：≥10年（提供设备铭牌实拍或其它材料）</w:t>
      </w:r>
      <w:r>
        <w:rPr>
          <w:highlight w:val="none"/>
        </w:rPr>
      </w:r>
      <w:r>
        <w:rPr>
          <w:highlight w:val="none"/>
        </w:rPr>
      </w:r>
    </w:p>
    <w:p>
      <w:pPr>
        <w:pStyle w:val="888"/>
        <w:numPr>
          <w:ilvl w:val="0"/>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冷却系统：</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▲冷却方式：高效散热系统 (包含液冷和风冷)，冷却液应无渗漏、无挥发现象；</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冷却系统可保证设备</w:t>
      </w:r>
      <w:r>
        <w:rPr>
          <w:rFonts w:hint="eastAsia" w:asciiTheme="minorEastAsia" w:hAnsiTheme="minorEastAsia" w:cstheme="minorEastAsia"/>
          <w:sz w:val="24"/>
          <w:szCs w:val="24"/>
          <w:highlight w:val="none"/>
        </w:rPr>
        <w:t xml:space="preserve">≥</w:t>
      </w:r>
      <w:r>
        <w:rPr>
          <w:rFonts w:hint="eastAsia" w:asciiTheme="minorEastAsia" w:hAnsiTheme="minorEastAsia" w:cstheme="minorEastAsia"/>
          <w:color w:val="000000"/>
          <w:sz w:val="24"/>
          <w:szCs w:val="24"/>
          <w:highlight w:val="none"/>
        </w:rPr>
        <w:t xml:space="preserve">24h持续工作；</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▲冷却系统与刺激主机分体式设计，</w:t>
      </w:r>
      <w:r>
        <w:rPr>
          <w:rFonts w:hint="eastAsia" w:asciiTheme="minorEastAsia" w:hAnsiTheme="minorEastAsia" w:cstheme="minorEastAsia"/>
          <w:color w:val="000000"/>
          <w:sz w:val="24"/>
          <w:szCs w:val="24"/>
          <w:highlight w:val="none"/>
        </w:rPr>
        <w:t xml:space="preserve">确保电液分离</w:t>
      </w:r>
      <w:r>
        <w:rPr>
          <w:rFonts w:hint="eastAsia" w:asciiTheme="minorEastAsia" w:hAnsiTheme="minorEastAsia" w:cstheme="minorEastAsia"/>
          <w:color w:val="000000"/>
          <w:sz w:val="24"/>
          <w:szCs w:val="24"/>
          <w:highlight w:val="none"/>
        </w:rPr>
        <w:t xml:space="preserve">，无漏液风险，同时便于后期维护。</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当冷却系统发生故障时，应有提示或停止磁场输出。</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冷却系统可以实时显示刺激线圈温度。</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温度保护系统：当刺激线圈温度≥40℃，磁刺激仪自动停止刺激输出。</w:t>
      </w:r>
      <w:r>
        <w:rPr>
          <w:highlight w:val="none"/>
        </w:rPr>
      </w:r>
      <w:r>
        <w:rPr>
          <w:highlight w:val="none"/>
        </w:rPr>
      </w:r>
    </w:p>
    <w:p>
      <w:pPr>
        <w:pStyle w:val="888"/>
        <w:numPr>
          <w:ilvl w:val="0"/>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刺激线圈：</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w:t>
      </w:r>
      <w:r>
        <w:rPr>
          <w:rFonts w:hint="eastAsia" w:asciiTheme="minorEastAsia" w:hAnsiTheme="minorEastAsia" w:cstheme="minorEastAsia"/>
          <w:color w:val="000000"/>
          <w:sz w:val="24"/>
          <w:szCs w:val="24"/>
          <w:highlight w:val="none"/>
        </w:rPr>
        <w:t xml:space="preserve">标配</w:t>
      </w:r>
      <w:r>
        <w:rPr>
          <w:rFonts w:asciiTheme="minorEastAsia" w:hAnsiTheme="minorEastAsia" w:cstheme="minorEastAsia"/>
          <w:color w:val="000000"/>
          <w:sz w:val="24"/>
          <w:szCs w:val="24"/>
          <w:highlight w:val="none"/>
        </w:rPr>
        <w:t xml:space="preserve">1</w:t>
      </w:r>
      <w:r>
        <w:rPr>
          <w:rFonts w:hint="eastAsia" w:asciiTheme="minorEastAsia" w:hAnsiTheme="minorEastAsia" w:cstheme="minorEastAsia"/>
          <w:color w:val="000000"/>
          <w:sz w:val="24"/>
          <w:szCs w:val="24"/>
          <w:highlight w:val="none"/>
        </w:rPr>
        <w:t xml:space="preserve">个</w:t>
      </w:r>
      <w:r>
        <w:rPr>
          <w:rFonts w:hint="eastAsia" w:asciiTheme="minorEastAsia" w:hAnsiTheme="minorEastAsia" w:cstheme="minorEastAsia"/>
          <w:color w:val="000000"/>
          <w:sz w:val="24"/>
          <w:szCs w:val="24"/>
          <w:highlight w:val="none"/>
        </w:rPr>
        <w:t xml:space="preserve">蝶形线圈、1个深部线圈、1个单拍成对线圈、1个圆形线圈，可以实现聚焦刺激。</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▲单拍成对线圈，可进行0.5-5ms短时刺激，可评估SICI。</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深部线圈刺激深部需达</w:t>
      </w:r>
      <w:r>
        <w:rPr>
          <w:rFonts w:hint="eastAsia" w:asciiTheme="minorEastAsia" w:hAnsiTheme="minorEastAsia" w:cstheme="minorEastAsia"/>
          <w:sz w:val="24"/>
          <w:szCs w:val="24"/>
          <w:highlight w:val="none"/>
        </w:rPr>
        <w:t xml:space="preserve">≥</w:t>
      </w:r>
      <w:r>
        <w:rPr>
          <w:rFonts w:hint="eastAsia" w:asciiTheme="minorEastAsia" w:hAnsiTheme="minorEastAsia" w:cstheme="minorEastAsia"/>
          <w:color w:val="000000"/>
          <w:sz w:val="24"/>
          <w:szCs w:val="24"/>
          <w:highlight w:val="none"/>
        </w:rPr>
        <w:t xml:space="preserve">6cm (磁场在6cm深度时，磁场强度可保存在1T以上)。</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刺激线圈上具有强度调节按键与触发刺激按键，可调节刺激强度和触发刺激，方便临床快速检测器动阈值。</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▲刺激线圈具有显示屏，可实时显示线圈强度及温度。</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线圈和主机连接口</w:t>
      </w:r>
      <w:r>
        <w:rPr>
          <w:rFonts w:hint="eastAsia" w:asciiTheme="minorEastAsia" w:hAnsiTheme="minorEastAsia" w:cstheme="minorEastAsia"/>
          <w:color w:val="000000"/>
          <w:sz w:val="24"/>
          <w:szCs w:val="24"/>
          <w:highlight w:val="none"/>
        </w:rPr>
        <w:t xml:space="preserve">为液电一体化</w:t>
      </w:r>
      <w:r>
        <w:rPr>
          <w:rFonts w:hint="eastAsia" w:asciiTheme="minorEastAsia" w:hAnsiTheme="minorEastAsia" w:cstheme="minorEastAsia"/>
          <w:color w:val="000000"/>
          <w:sz w:val="24"/>
          <w:szCs w:val="24"/>
          <w:highlight w:val="none"/>
        </w:rPr>
        <w:t xml:space="preserve">设计，仅需插拔一个连接口，临床操作中可快速自主更的线圈.</w:t>
      </w:r>
      <w:r>
        <w:rPr>
          <w:highlight w:val="none"/>
        </w:rPr>
      </w:r>
      <w:r>
        <w:rPr>
          <w:highlight w:val="none"/>
        </w:rPr>
      </w:r>
    </w:p>
    <w:p>
      <w:pPr>
        <w:pStyle w:val="888"/>
        <w:numPr>
          <w:ilvl w:val="0"/>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MEP 模块:</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MEP通道数: ≥2通道.</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▲运动诱发电位检查模块支持无线传输功能。</w:t>
      </w:r>
      <w:r>
        <w:rPr>
          <w:highlight w:val="none"/>
        </w:rPr>
      </w:r>
      <w:r>
        <w:rPr>
          <w:highlight w:val="none"/>
        </w:rPr>
      </w:r>
    </w:p>
    <w:p>
      <w:pPr>
        <w:pStyle w:val="888"/>
        <w:numPr>
          <w:ilvl w:val="0"/>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软件系统：</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采用触屏一体机承载软件系统，无需使用鼠标即可操作。</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具备自动阀值检测及推送功能；</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评估模块：具备单脉冲刺激、</w:t>
      </w:r>
      <w:r>
        <w:rPr>
          <w:rFonts w:hint="eastAsia" w:asciiTheme="minorEastAsia" w:hAnsiTheme="minorEastAsia" w:cstheme="minorEastAsia"/>
          <w:color w:val="000000"/>
          <w:sz w:val="24"/>
          <w:szCs w:val="24"/>
          <w:highlight w:val="none"/>
        </w:rPr>
        <w:t xml:space="preserve">单拍成对刺激</w:t>
      </w:r>
      <w:r>
        <w:rPr>
          <w:rFonts w:hint="eastAsia" w:asciiTheme="minorEastAsia" w:hAnsiTheme="minorEastAsia" w:cstheme="minorEastAsia"/>
          <w:color w:val="000000"/>
          <w:sz w:val="24"/>
          <w:szCs w:val="24"/>
          <w:highlight w:val="none"/>
        </w:rPr>
        <w:t xml:space="preserve">和双拍成对刺激等；可评估MEP、MT、CMCT、CSP、ICI、ICF、IHI和IHF；</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▲治疗模块：可实现单脉冲刺激、重复脉冲刺激和模式化刺激（含TBS模式）、</w:t>
      </w:r>
      <w:r>
        <w:rPr>
          <w:rFonts w:hint="eastAsia" w:asciiTheme="minorEastAsia" w:hAnsiTheme="minorEastAsia" w:cstheme="minorEastAsia"/>
          <w:color w:val="000000"/>
          <w:sz w:val="24"/>
          <w:szCs w:val="24"/>
          <w:highlight w:val="none"/>
        </w:rPr>
        <w:t xml:space="preserve">单拍成对刺激</w:t>
      </w:r>
      <w:r>
        <w:rPr>
          <w:rFonts w:hint="eastAsia" w:asciiTheme="minorEastAsia" w:hAnsiTheme="minorEastAsia" w:cstheme="minorEastAsia"/>
          <w:color w:val="000000"/>
          <w:sz w:val="24"/>
          <w:szCs w:val="24"/>
          <w:highlight w:val="none"/>
        </w:rPr>
        <w:t xml:space="preserve">、双拍成对刺激，双拍成对重复冲刺激，组合方案等多种刺激模式；</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▲配置不低于</w:t>
      </w:r>
      <w:r>
        <w:rPr>
          <w:rFonts w:hint="eastAsia" w:asciiTheme="minorEastAsia" w:hAnsiTheme="minorEastAsia" w:cstheme="minorEastAsia"/>
          <w:color w:val="000000"/>
          <w:sz w:val="24"/>
          <w:szCs w:val="24"/>
          <w:highlight w:val="none"/>
        </w:rPr>
        <w:t xml:space="preserve">双屏双系统</w:t>
      </w:r>
      <w:r>
        <w:rPr>
          <w:rFonts w:hint="eastAsia" w:asciiTheme="minorEastAsia" w:hAnsiTheme="minorEastAsia" w:cstheme="minorEastAsia"/>
          <w:color w:val="000000"/>
          <w:sz w:val="24"/>
          <w:szCs w:val="24"/>
          <w:highlight w:val="none"/>
        </w:rPr>
        <w:t xml:space="preserve">，每个屏可以单独控制一个线圈，设备可支持2人同时进行评估和治疗。</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在治疗过程中，能够实时采集患者</w:t>
      </w:r>
      <w:r>
        <w:rPr>
          <w:rFonts w:hint="eastAsia" w:asciiTheme="minorEastAsia" w:hAnsiTheme="minorEastAsia" w:cstheme="minorEastAsia"/>
          <w:color w:val="000000"/>
          <w:sz w:val="24"/>
          <w:szCs w:val="24"/>
          <w:highlight w:val="none"/>
        </w:rPr>
        <w:t xml:space="preserve">肌</w:t>
      </w:r>
      <w:r>
        <w:rPr>
          <w:rFonts w:hint="eastAsia" w:asciiTheme="minorEastAsia" w:hAnsiTheme="minorEastAsia" w:cstheme="minorEastAsia"/>
          <w:color w:val="000000"/>
          <w:sz w:val="24"/>
          <w:szCs w:val="24"/>
          <w:highlight w:val="none"/>
        </w:rPr>
        <w:t xml:space="preserve">电信号，进行电生理监测；</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内置</w:t>
      </w:r>
      <w:r>
        <w:rPr>
          <w:rFonts w:hint="eastAsia" w:asciiTheme="minorEastAsia" w:hAnsiTheme="minorEastAsia" w:cstheme="minorEastAsia"/>
          <w:color w:val="000000"/>
          <w:sz w:val="24"/>
          <w:szCs w:val="24"/>
          <w:highlight w:val="none"/>
        </w:rPr>
        <w:t xml:space="preserve">多种专家</w:t>
      </w:r>
      <w:r>
        <w:rPr>
          <w:rFonts w:hint="eastAsia" w:asciiTheme="minorEastAsia" w:hAnsiTheme="minorEastAsia" w:cstheme="minorEastAsia"/>
          <w:color w:val="000000"/>
          <w:sz w:val="24"/>
          <w:szCs w:val="24"/>
          <w:highlight w:val="none"/>
        </w:rPr>
        <w:t xml:space="preserve">方案，支持自定义编辑方案，支持组合方案；</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开放式设计平台，具备延时触发功能；</w:t>
      </w:r>
      <w:r>
        <w:rPr>
          <w:highlight w:val="none"/>
        </w:rPr>
      </w:r>
      <w:r>
        <w:rPr>
          <w:highlight w:val="none"/>
        </w:rPr>
      </w:r>
    </w:p>
    <w:p>
      <w:pPr>
        <w:pStyle w:val="888"/>
        <w:numPr>
          <w:ilvl w:val="1"/>
          <w:numId w:val="9"/>
        </w:numPr>
        <w:spacing w:line="276" w:lineRule="auto"/>
        <w:rPr>
          <w:rFonts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治疗界面提供大脑解剖定位图辅助定位。</w:t>
      </w:r>
      <w:r>
        <w:rPr>
          <w:highlight w:val="none"/>
        </w:rPr>
      </w:r>
      <w:r>
        <w:rPr>
          <w:highlight w:val="none"/>
        </w:rPr>
      </w:r>
    </w:p>
    <w:p>
      <w:pPr>
        <w:pStyle w:val="835"/>
        <w:rPr>
          <w:rFonts w:asciiTheme="minorEastAsia" w:hAnsiTheme="minorEastAsia" w:eastAsiaTheme="minorEastAsia"/>
          <w:sz w:val="24"/>
          <w:highlight w:val="none"/>
        </w:rPr>
      </w:pPr>
      <w:r>
        <w:rPr>
          <w:rFonts w:asciiTheme="minorEastAsia" w:hAnsiTheme="minorEastAsia" w:eastAsiaTheme="minorEastAsia"/>
          <w:sz w:val="24"/>
          <w:highlight w:val="none"/>
          <w:lang w:val="en-US"/>
        </w:rPr>
      </w:r>
      <w:r>
        <w:rPr>
          <w:highlight w:val="none"/>
        </w:rPr>
      </w:r>
      <w:r>
        <w:rPr>
          <w:highlight w:val="none"/>
        </w:rPr>
      </w:r>
    </w:p>
    <w:p>
      <w:pPr>
        <w:pStyle w:val="801"/>
        <w:jc w:val="both"/>
        <w:spacing w:before="0" w:after="0" w:line="276" w:lineRule="auto"/>
        <w:rPr>
          <w:rFonts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4"/>
          <w:szCs w:val="24"/>
          <w:highlight w:val="none"/>
        </w:rPr>
        <w:t xml:space="preserve">三、</w:t>
      </w:r>
      <w:r>
        <w:rPr>
          <w:rFonts w:hint="eastAsia" w:cs="仿宋" w:asciiTheme="minorEastAsia" w:hAnsiTheme="minorEastAsia" w:eastAsiaTheme="minorEastAsia"/>
          <w:b/>
          <w:sz w:val="24"/>
          <w:szCs w:val="24"/>
          <w:highlight w:val="none"/>
        </w:rPr>
        <w:t xml:space="preserve">★</w:t>
      </w:r>
      <w:r>
        <w:rPr>
          <w:rFonts w:cs="仿宋" w:asciiTheme="minorEastAsia" w:hAnsiTheme="minorEastAsia" w:eastAsiaTheme="minorEastAsia"/>
          <w:b/>
          <w:sz w:val="24"/>
          <w:szCs w:val="24"/>
          <w:highlight w:val="none"/>
        </w:rPr>
        <w:t xml:space="preserve">商务要求</w:t>
      </w:r>
      <w:r>
        <w:rPr>
          <w:highlight w:val="none"/>
        </w:rPr>
      </w:r>
      <w:r>
        <w:rPr>
          <w:highlight w:val="none"/>
        </w:rPr>
      </w:r>
    </w:p>
    <w:p>
      <w:pPr>
        <w:ind w:firstLine="480"/>
        <w:jc w:val="both"/>
        <w:spacing w:line="360" w:lineRule="auto"/>
        <w:tabs>
          <w:tab w:val="left" w:pos="851" w:leader="none"/>
          <w:tab w:val="left" w:pos="1276" w:leader="none"/>
          <w:tab w:val="left" w:pos="1418"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下列条款中甲方为：</w:t>
      </w:r>
      <w:r>
        <w:rPr>
          <w:rFonts w:hint="eastAsia" w:ascii="宋体" w:hAnsi="宋体" w:eastAsia="宋体" w:cs="宋体"/>
          <w:b/>
          <w:sz w:val="24"/>
          <w:szCs w:val="24"/>
          <w:highlight w:val="none"/>
        </w:rPr>
        <w:t xml:space="preserve">南通市第二人民医院</w:t>
      </w:r>
      <w:r>
        <w:rPr>
          <w:rFonts w:hint="eastAsia" w:ascii="宋体" w:hAnsi="宋体" w:eastAsia="宋体" w:cs="宋体"/>
          <w:sz w:val="24"/>
          <w:szCs w:val="24"/>
          <w:highlight w:val="none"/>
        </w:rPr>
        <w:t xml:space="preserve">，乙方为：本项目的中标投标人</w:t>
      </w:r>
      <w:r>
        <w:rPr>
          <w:highlight w:val="none"/>
        </w:rPr>
      </w:r>
      <w:r>
        <w:rPr>
          <w:highlight w:val="none"/>
        </w:rPr>
      </w:r>
    </w:p>
    <w:p>
      <w:pPr>
        <w:pStyle w:val="888"/>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iCs/>
          <w:sz w:val="24"/>
          <w:szCs w:val="24"/>
          <w:highlight w:val="none"/>
        </w:rPr>
        <w:t xml:space="preserve">（一）交货期</w:t>
      </w:r>
      <w:r>
        <w:rPr>
          <w:rFonts w:hint="eastAsia" w:ascii="宋体" w:hAnsi="宋体" w:eastAsia="宋体" w:cs="宋体"/>
          <w:iCs/>
          <w:sz w:val="24"/>
          <w:szCs w:val="24"/>
          <w:highlight w:val="none"/>
        </w:rPr>
        <w:t xml:space="preserve">：合同签订后3</w:t>
      </w:r>
      <w:r>
        <w:rPr>
          <w:rFonts w:ascii="宋体" w:hAnsi="宋体" w:eastAsia="宋体" w:cs="宋体"/>
          <w:iCs/>
          <w:sz w:val="24"/>
          <w:szCs w:val="24"/>
          <w:highlight w:val="none"/>
        </w:rPr>
        <w:t xml:space="preserve">0</w:t>
      </w:r>
      <w:r>
        <w:rPr>
          <w:rFonts w:hint="eastAsia" w:ascii="宋体" w:hAnsi="宋体" w:eastAsia="宋体" w:cs="宋体"/>
          <w:iCs/>
          <w:sz w:val="24"/>
          <w:szCs w:val="24"/>
          <w:highlight w:val="none"/>
        </w:rPr>
        <w:t xml:space="preserve">日内；</w:t>
      </w:r>
      <w:r>
        <w:rPr>
          <w:highlight w:val="none"/>
        </w:rPr>
      </w:r>
      <w:r>
        <w:rPr>
          <w:highlight w:val="none"/>
        </w:rPr>
      </w:r>
    </w:p>
    <w:p>
      <w:pPr>
        <w:pStyle w:val="888"/>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iCs/>
          <w:sz w:val="24"/>
          <w:szCs w:val="24"/>
          <w:highlight w:val="none"/>
        </w:rPr>
        <w:t xml:space="preserve">（二）交货地点</w:t>
      </w:r>
      <w:r>
        <w:rPr>
          <w:rFonts w:hint="eastAsia" w:ascii="宋体" w:hAnsi="宋体" w:eastAsia="宋体" w:cs="宋体"/>
          <w:iCs/>
          <w:sz w:val="24"/>
          <w:szCs w:val="24"/>
          <w:highlight w:val="none"/>
        </w:rPr>
        <w:t xml:space="preserve">：甲方指定地点；</w:t>
      </w:r>
      <w:r>
        <w:rPr>
          <w:highlight w:val="none"/>
        </w:rPr>
      </w:r>
      <w:r>
        <w:rPr>
          <w:highlight w:val="none"/>
        </w:rPr>
      </w:r>
    </w:p>
    <w:p>
      <w:pPr>
        <w:pStyle w:val="888"/>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iCs/>
          <w:sz w:val="24"/>
          <w:szCs w:val="24"/>
          <w:highlight w:val="none"/>
        </w:rPr>
        <w:t xml:space="preserve">（三）付款条件</w:t>
      </w:r>
      <w:r>
        <w:rPr>
          <w:rFonts w:hint="eastAsia" w:ascii="宋体" w:hAnsi="宋体" w:eastAsia="宋体" w:cs="宋体"/>
          <w:iCs/>
          <w:sz w:val="24"/>
          <w:szCs w:val="24"/>
          <w:highlight w:val="none"/>
        </w:rPr>
        <w:t xml:space="preserve">：合同签订生效后，支付合同总额的30%作为预付款，货到安装调试验收合格且按采购人要求提供了技术培训、技术资料以及设备发票30天内，支付合同总额的60%；前述付款满壹年后，经采购人确认在此期间中标人无其它违约事项后支付余款，并一次性无息退还履约保证金。付款方式为转账支付。</w:t>
      </w:r>
      <w:r>
        <w:rPr>
          <w:highlight w:val="none"/>
        </w:rPr>
      </w:r>
      <w:r>
        <w:rPr>
          <w:highlight w:val="none"/>
        </w:rPr>
      </w:r>
    </w:p>
    <w:p>
      <w:pPr>
        <w:pStyle w:val="888"/>
        <w:ind w:left="0"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（四）质保期：</w:t>
      </w:r>
      <w:r>
        <w:rPr>
          <w:highlight w:val="none"/>
        </w:rPr>
      </w:r>
      <w:r>
        <w:rPr>
          <w:highlight w:val="none"/>
        </w:rPr>
      </w:r>
    </w:p>
    <w:p>
      <w:pPr>
        <w:pStyle w:val="888"/>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bCs/>
          <w:iCs/>
          <w:color w:val="ff0000"/>
          <w:sz w:val="24"/>
          <w:szCs w:val="24"/>
          <w:highlight w:val="none"/>
        </w:rPr>
        <w:t xml:space="preserve">整机原厂</w:t>
      </w:r>
      <w:r>
        <w:rPr>
          <w:rFonts w:hint="eastAsia" w:ascii="宋体" w:hAnsi="宋体" w:eastAsia="宋体" w:cs="宋体"/>
          <w:b w:val="0"/>
          <w:bCs w:val="0"/>
          <w:iCs/>
          <w:color w:val="000000" w:themeColor="text1"/>
          <w:sz w:val="24"/>
          <w:szCs w:val="24"/>
          <w:highlight w:val="none"/>
        </w:rPr>
        <w:t xml:space="preserve">免</w:t>
      </w:r>
      <w:r>
        <w:rPr>
          <w:rFonts w:hint="eastAsia" w:ascii="宋体" w:hAnsi="宋体" w:eastAsia="宋体" w:cs="宋体"/>
          <w:iCs/>
          <w:sz w:val="24"/>
          <w:szCs w:val="24"/>
          <w:highlight w:val="none"/>
        </w:rPr>
        <w:t xml:space="preserve">费保修期1年（自交货验收合格之日起计）,包含但不限于线圈等本项目配套提供的所有附件；</w:t>
      </w:r>
      <w:r>
        <w:rPr>
          <w:highlight w:val="none"/>
        </w:rPr>
      </w:r>
      <w:r>
        <w:rPr>
          <w:highlight w:val="none"/>
        </w:rPr>
      </w:r>
    </w:p>
    <w:p>
      <w:pPr>
        <w:pStyle w:val="888"/>
        <w:ind w:left="0"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因人为因素出现的故障不在免费保修范围内。超过保修期的机器设备，终生维修，维修时只收部件成本费，软件终身免费升级。</w:t>
      </w:r>
      <w:r>
        <w:rPr>
          <w:highlight w:val="none"/>
        </w:rPr>
      </w:r>
      <w:r>
        <w:rPr>
          <w:highlight w:val="none"/>
        </w:rPr>
      </w:r>
    </w:p>
    <w:p>
      <w:pPr>
        <w:pStyle w:val="888"/>
        <w:ind w:left="0"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（五）设备到货、安装和验收要求：</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1）乙方确保设备安全无损地运抵甲方指定现场，并承担设备的包装、运输、保险、装卸、安装调试、培训、商检及计量检测、增值税等费用。机器安装调试完毕，试用无故障方签署验收报告。</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2）设备到货时间，请乙方提前一周通知甲方，以便甲方安排好接收工作，乙方人</w:t>
      </w:r>
      <w:r>
        <w:rPr>
          <w:rFonts w:ascii="宋体" w:hAnsi="宋体" w:eastAsia="宋体" w:cs="宋体"/>
          <w:iCs/>
          <w:sz w:val="24"/>
          <w:szCs w:val="24"/>
          <w:highlight w:val="none"/>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3）如乙方提供的设备设有维修软件密码，乙方应保证无条件地为甲方永久免费打开。</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4）设备安装、调试、培训结束，甲方对设备试用后进行验收（时间由甲、乙双方商定），乙方免费派工程师到达现场协助验收工作，填好相应的安装、调试、培训及验收等相关表格并签字。</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5）乙方应派专业技术人员在现场对甲方医院使用人员进行培训指导，在使用一段时间后可根据医院及科室的要求另行安排培训计划。</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6）保修期自甲方医院验收合格之日算起，保修期外只收配件费，免收人工费。</w:t>
      </w:r>
      <w:r>
        <w:rPr>
          <w:highlight w:val="none"/>
        </w:rPr>
      </w:r>
      <w:r>
        <w:rPr>
          <w:highlight w:val="none"/>
        </w:rPr>
      </w:r>
    </w:p>
    <w:p>
      <w:pPr>
        <w:ind w:firstLine="480"/>
        <w:jc w:val="both"/>
        <w:spacing w:line="360" w:lineRule="auto"/>
        <w:rPr>
          <w:rFonts w:ascii="宋体" w:hAnsi="宋体" w:eastAsia="宋体" w:cs="宋体"/>
          <w:b/>
          <w:bCs/>
          <w:iCs/>
          <w:color w:val="ff0000"/>
          <w:sz w:val="24"/>
          <w:szCs w:val="24"/>
          <w:highlight w:val="none"/>
        </w:rPr>
      </w:pPr>
      <w:r>
        <w:rPr>
          <w:rFonts w:hint="eastAsia" w:ascii="宋体" w:hAnsi="宋体" w:eastAsia="宋体" w:cs="宋体"/>
          <w:iCs/>
          <w:sz w:val="24"/>
          <w:szCs w:val="24"/>
          <w:highlight w:val="none"/>
        </w:rPr>
        <w:t xml:space="preserve">（7）</w:t>
      </w:r>
      <w:r>
        <w:rPr>
          <w:rFonts w:hint="eastAsia" w:ascii="宋体" w:hAnsi="宋体" w:eastAsia="宋体" w:cs="宋体"/>
          <w:b/>
          <w:bCs/>
          <w:iCs/>
          <w:color w:val="ff0000"/>
          <w:sz w:val="24"/>
          <w:szCs w:val="24"/>
          <w:highlight w:val="none"/>
        </w:rPr>
        <w:t xml:space="preserve">设备到货后安装、调试结束后，进行开箱验收。试运行一个月后，由</w:t>
      </w:r>
      <w:r>
        <w:rPr>
          <w:rFonts w:ascii="宋体" w:hAnsi="宋体" w:eastAsia="宋体" w:cs="宋体"/>
          <w:b/>
          <w:bCs/>
          <w:iCs/>
          <w:color w:val="ff0000"/>
          <w:sz w:val="24"/>
          <w:szCs w:val="24"/>
          <w:highlight w:val="none"/>
        </w:rPr>
        <w:t xml:space="preserve">使用科室</w:t>
      </w:r>
      <w:r>
        <w:rPr>
          <w:rFonts w:hint="eastAsia" w:ascii="宋体" w:hAnsi="宋体" w:eastAsia="宋体" w:cs="宋体"/>
          <w:b/>
          <w:bCs/>
          <w:iCs/>
          <w:color w:val="ff0000"/>
          <w:sz w:val="24"/>
          <w:szCs w:val="24"/>
          <w:highlight w:val="none"/>
        </w:rPr>
        <w:t xml:space="preserve">协同</w:t>
      </w:r>
      <w:r>
        <w:rPr>
          <w:rFonts w:ascii="宋体" w:hAnsi="宋体" w:eastAsia="宋体" w:cs="宋体"/>
          <w:b/>
          <w:bCs/>
          <w:iCs/>
          <w:color w:val="ff0000"/>
          <w:sz w:val="24"/>
          <w:szCs w:val="24"/>
          <w:highlight w:val="none"/>
        </w:rPr>
        <w:t xml:space="preserve">设备</w:t>
      </w:r>
      <w:r>
        <w:rPr>
          <w:rFonts w:hint="eastAsia" w:ascii="宋体" w:hAnsi="宋体" w:eastAsia="宋体" w:cs="宋体"/>
          <w:b/>
          <w:bCs/>
          <w:iCs/>
          <w:color w:val="ff0000"/>
          <w:sz w:val="24"/>
          <w:szCs w:val="24"/>
          <w:highlight w:val="none"/>
        </w:rPr>
        <w:t xml:space="preserve">科</w:t>
      </w:r>
      <w:r>
        <w:rPr>
          <w:rFonts w:ascii="宋体" w:hAnsi="宋体" w:eastAsia="宋体" w:cs="宋体"/>
          <w:b/>
          <w:bCs/>
          <w:iCs/>
          <w:color w:val="ff0000"/>
          <w:sz w:val="24"/>
          <w:szCs w:val="24"/>
          <w:highlight w:val="none"/>
        </w:rPr>
        <w:t xml:space="preserve">进行初验收，并出具</w:t>
      </w:r>
      <w:r>
        <w:rPr>
          <w:rFonts w:hint="eastAsia" w:ascii="宋体" w:hAnsi="宋体" w:eastAsia="宋体" w:cs="宋体"/>
          <w:b/>
          <w:bCs/>
          <w:iCs/>
          <w:color w:val="ff0000"/>
          <w:sz w:val="24"/>
          <w:szCs w:val="24"/>
          <w:highlight w:val="none"/>
        </w:rPr>
        <w:t xml:space="preserve">初验收结论。初验收</w:t>
      </w:r>
      <w:r>
        <w:rPr>
          <w:rFonts w:ascii="宋体" w:hAnsi="宋体" w:eastAsia="宋体" w:cs="宋体"/>
          <w:b/>
          <w:bCs/>
          <w:iCs/>
          <w:color w:val="ff0000"/>
          <w:sz w:val="24"/>
          <w:szCs w:val="24"/>
          <w:highlight w:val="none"/>
        </w:rPr>
        <w:t xml:space="preserve">通过后，</w:t>
      </w:r>
      <w:r>
        <w:rPr>
          <w:rFonts w:hint="eastAsia" w:ascii="宋体" w:hAnsi="宋体" w:eastAsia="宋体" w:cs="宋体"/>
          <w:b/>
          <w:bCs/>
          <w:iCs/>
          <w:color w:val="ff0000"/>
          <w:sz w:val="24"/>
          <w:szCs w:val="24"/>
          <w:highlight w:val="none"/>
        </w:rPr>
        <w:t xml:space="preserve">甲方组织对设备进行最终整体验收（具体时间由甲、乙双方商定），乙方免费派工程师到达现场协助验收工作。</w:t>
      </w:r>
      <w:r>
        <w:rPr>
          <w:highlight w:val="none"/>
        </w:rPr>
      </w:r>
      <w:r>
        <w:rPr>
          <w:highlight w:val="none"/>
        </w:rPr>
      </w:r>
    </w:p>
    <w:p>
      <w:pPr>
        <w:ind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（六）售后服务要求：</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1）保修期内每年不少于2次全面的维护保养，</w:t>
      </w:r>
      <w:r>
        <w:rPr>
          <w:rFonts w:hint="eastAsia" w:ascii="宋体" w:hAnsi="宋体" w:eastAsia="宋体" w:cs="宋体"/>
          <w:b/>
          <w:bCs/>
          <w:iCs/>
          <w:color w:val="ff0000"/>
          <w:sz w:val="24"/>
          <w:szCs w:val="24"/>
          <w:highlight w:val="none"/>
        </w:rPr>
        <w:t xml:space="preserve">供应商承担保养所需的消耗品及易损件，</w:t>
      </w:r>
      <w:r>
        <w:rPr>
          <w:rFonts w:ascii="宋体" w:hAnsi="宋体" w:eastAsia="宋体" w:cs="宋体"/>
          <w:iCs/>
          <w:sz w:val="24"/>
          <w:szCs w:val="24"/>
          <w:highlight w:val="none"/>
        </w:rPr>
        <w:t xml:space="preserve">并提供设备维修、保养详细工作报告单，保证零配件供应时间不少于厂家对设备限定的使用年限。</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2）投标文件中应明确负责本项目的合格的维修保养单位，应有相当规模的备件库以满足日常检验及应急修理的需要。确保在接到采购人通知后48小时内，将所需配件送达。</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3）确保设备保修期内开机率为95%，如设备故障停机率超过5%（一年按365天计算，每年18天），每超过一天，保修期延长两周。</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4）如设备发生故障，供应商在接到甲方报修电话后2小时内予以响应，否则甲方可自行采取必要的措施，由此产生的风险和费用由乙方承担。如有特殊情况，乙方应立即电话通知甲方不能响应的原因，在获得甲方同意后，方可推迟响应时间。</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5）如供应商提供的设备设有维修软件密码，供应商应保证无条件地为采购人永久免费打开。</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6）在质保期满后，出现设备故障时，供应商仍需做好售后服务，并在上述时限内及要求赶到现场及时处理解决，以优于市场的价格收取配件费，免收人工费。</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7）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8）终身免费升级软件。</w:t>
      </w:r>
      <w:r>
        <w:rPr>
          <w:highlight w:val="none"/>
        </w:rPr>
      </w:r>
      <w:r>
        <w:rPr>
          <w:highlight w:val="none"/>
        </w:rP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9）如需连接医院网络系统，需进行配合，并承担相关费用。</w:t>
      </w:r>
      <w:r>
        <w:rPr>
          <w:highlight w:val="none"/>
        </w:rPr>
      </w:r>
      <w:r>
        <w:rPr>
          <w:highlight w:val="none"/>
        </w:rPr>
      </w:r>
    </w:p>
    <w:p>
      <w:pPr>
        <w:ind w:firstLine="480"/>
        <w:jc w:val="both"/>
        <w:spacing w:line="360" w:lineRule="auto"/>
        <w:rPr>
          <w:rFonts w:ascii="宋体" w:hAnsi="宋体" w:eastAsia="宋体" w:cs="宋体"/>
          <w:iCs/>
          <w:color w:val="ff0000"/>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10）设备出厂日期不得早于</w:t>
      </w:r>
      <w:r>
        <w:rPr>
          <w:rFonts w:ascii="宋体" w:hAnsi="宋体" w:eastAsia="宋体" w:cs="宋体"/>
          <w:b/>
          <w:bCs/>
          <w:iCs/>
          <w:color w:val="ff0000"/>
          <w:sz w:val="24"/>
          <w:szCs w:val="24"/>
          <w:highlight w:val="none"/>
        </w:rPr>
        <w:t xml:space="preserve">到货前</w:t>
      </w:r>
      <w:r>
        <w:rPr>
          <w:rFonts w:hint="eastAsia" w:ascii="宋体" w:hAnsi="宋体" w:eastAsia="宋体" w:cs="宋体"/>
          <w:b/>
          <w:bCs/>
          <w:iCs/>
          <w:color w:val="ff0000"/>
          <w:sz w:val="24"/>
          <w:szCs w:val="24"/>
          <w:highlight w:val="none"/>
        </w:rPr>
        <w:t xml:space="preserve">6</w:t>
      </w:r>
      <w:r>
        <w:rPr>
          <w:rFonts w:ascii="宋体" w:hAnsi="宋体" w:eastAsia="宋体" w:cs="宋体"/>
          <w:b/>
          <w:bCs/>
          <w:iCs/>
          <w:color w:val="ff0000"/>
          <w:sz w:val="24"/>
          <w:szCs w:val="24"/>
          <w:highlight w:val="none"/>
        </w:rPr>
        <w:t xml:space="preserve">个月。</w:t>
      </w:r>
      <w:r>
        <w:rPr>
          <w:highlight w:val="none"/>
        </w:rPr>
      </w:r>
      <w:r>
        <w:rPr>
          <w:highlight w:val="none"/>
        </w:rPr>
      </w:r>
    </w:p>
    <w:p>
      <w:pPr>
        <w:ind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（七）技术培训：</w:t>
      </w:r>
      <w:r>
        <w:rPr>
          <w:highlight w:val="none"/>
        </w:rPr>
      </w:r>
      <w:r>
        <w:rPr>
          <w:highlight w:val="none"/>
        </w:rPr>
      </w:r>
    </w:p>
    <w:p>
      <w:pPr>
        <w:ind w:firstLine="480"/>
        <w:jc w:val="both"/>
        <w:spacing w:line="360" w:lineRule="auto"/>
        <w:rPr>
          <w:rFonts w:ascii="宋体" w:hAnsi="宋体" w:eastAsia="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1）在安装过程中或安装结束后，乙方工程师或有关人员有义务对甲方工程师和操作人员进行现场维修、保养、操作培训，解答甲方人员提出的问题</w:t>
      </w:r>
      <w:r>
        <w:rPr>
          <w:rFonts w:hint="eastAsia" w:ascii="宋体" w:hAnsi="宋体" w:eastAsia="宋体"/>
          <w:iCs/>
          <w:sz w:val="24"/>
          <w:szCs w:val="24"/>
          <w:highlight w:val="none"/>
        </w:rPr>
        <w:t xml:space="preserve">。</w:t>
      </w:r>
      <w:r>
        <w:rPr>
          <w:highlight w:val="none"/>
        </w:rPr>
      </w:r>
      <w:r>
        <w:rPr>
          <w:highlight w:val="none"/>
        </w:rPr>
      </w:r>
    </w:p>
    <w:p>
      <w:pPr>
        <w:ind w:firstLine="480"/>
        <w:jc w:val="both"/>
        <w:spacing w:line="360" w:lineRule="auto"/>
        <w:rPr>
          <w:rFonts w:ascii="宋体" w:hAnsi="宋体" w:eastAsia="宋体"/>
          <w:iCs/>
          <w:sz w:val="24"/>
          <w:szCs w:val="24"/>
          <w:highlight w:val="none"/>
        </w:rPr>
      </w:pPr>
      <w:r>
        <w:rPr>
          <w:rFonts w:hint="eastAsia" w:ascii="宋体" w:hAnsi="宋体" w:eastAsia="宋体"/>
          <w:iCs/>
          <w:sz w:val="24"/>
          <w:szCs w:val="24"/>
          <w:highlight w:val="none"/>
        </w:rPr>
        <w:t xml:space="preserve">（</w:t>
      </w:r>
      <w:r>
        <w:rPr>
          <w:rFonts w:ascii="宋体" w:hAnsi="宋体" w:eastAsia="宋体"/>
          <w:iCs/>
          <w:sz w:val="24"/>
          <w:szCs w:val="24"/>
          <w:highlight w:val="none"/>
        </w:rPr>
        <w:t xml:space="preserve">2）乙方负责对甲方、最终用户的操作、维修人员在项目所在地进行业务培训，培训应达到能熟练操作并能排除常见故障的标准；</w:t>
      </w:r>
      <w:r>
        <w:rPr>
          <w:highlight w:val="none"/>
        </w:rPr>
      </w:r>
      <w:r>
        <w:rPr>
          <w:highlight w:val="none"/>
        </w:rPr>
      </w:r>
    </w:p>
    <w:p>
      <w:pPr>
        <w:ind w:firstLine="480"/>
        <w:spacing w:line="360" w:lineRule="auto"/>
        <w:rPr>
          <w:rFonts w:cs="仿宋" w:asciiTheme="minorEastAsia" w:hAnsiTheme="minorEastAsia"/>
          <w:sz w:val="24"/>
          <w:szCs w:val="24"/>
          <w:highlight w:val="none"/>
        </w:rPr>
      </w:pPr>
      <w:r>
        <w:rPr>
          <w:rFonts w:cs="仿宋" w:asciiTheme="minorEastAsia" w:hAnsiTheme="minorEastAsia"/>
          <w:sz w:val="24"/>
          <w:szCs w:val="24"/>
          <w:highlight w:val="none"/>
        </w:rPr>
      </w:r>
      <w:r>
        <w:rPr>
          <w:highlight w:val="none"/>
        </w:rPr>
      </w:r>
      <w:r>
        <w:rPr>
          <w:highlight w:val="none"/>
        </w:rPr>
      </w:r>
    </w:p>
    <w:p>
      <w:pPr>
        <w:pStyle w:val="801"/>
        <w:jc w:val="both"/>
        <w:spacing w:before="0" w:after="0" w:line="360" w:lineRule="auto"/>
        <w:rPr>
          <w:rFonts w:ascii="宋体" w:hAnsi="宋体" w:eastAsia="宋体" w:cs="仿宋"/>
          <w:b/>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b/>
          <w:sz w:val="24"/>
          <w:szCs w:val="24"/>
          <w:highlight w:val="none"/>
        </w:rPr>
        <w:t xml:space="preserve">四、其他说明</w:t>
      </w:r>
      <w:r>
        <w:rPr>
          <w:highlight w:val="none"/>
        </w:rPr>
      </w:r>
      <w:r>
        <w:rPr>
          <w:highlight w:val="none"/>
        </w:rPr>
      </w:r>
    </w:p>
    <w:p>
      <w:pPr>
        <w:ind w:firstLine="480"/>
        <w:jc w:val="both"/>
        <w:spacing w:line="360" w:lineRule="auto"/>
        <w:rPr>
          <w:rFonts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4.1上述中加注“★”符号的关键条款指标</w:t>
      </w:r>
      <w:r>
        <w:rPr>
          <w:rFonts w:hint="eastAsia" w:cs="仿宋" w:asciiTheme="minorEastAsia" w:hAnsiTheme="minorEastAsia"/>
          <w:b/>
          <w:sz w:val="24"/>
          <w:szCs w:val="24"/>
          <w:highlight w:val="none"/>
        </w:rPr>
        <w:t xml:space="preserve">为实质性要求</w:t>
      </w:r>
      <w:r>
        <w:rPr>
          <w:rFonts w:cs="仿宋" w:asciiTheme="minorEastAsia" w:hAnsiTheme="minorEastAsia"/>
          <w:b/>
          <w:sz w:val="24"/>
          <w:szCs w:val="24"/>
          <w:highlight w:val="none"/>
        </w:rPr>
        <w:t xml:space="preserve">，不允许负偏离，否则投标无效；加注“▲”符号的重要条款指标；其他为一般条款指标。</w:t>
      </w:r>
      <w:r>
        <w:rPr>
          <w:highlight w:val="none"/>
        </w:rPr>
      </w:r>
      <w:r>
        <w:rPr>
          <w:highlight w:val="none"/>
        </w:rPr>
      </w:r>
    </w:p>
    <w:p>
      <w:pPr>
        <w:ind w:firstLine="480"/>
        <w:jc w:val="both"/>
        <w:spacing w:line="360" w:lineRule="auto"/>
        <w:rPr>
          <w:rFonts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4.2加注“★”符号的关键条款指标</w:t>
      </w:r>
      <w:r>
        <w:rPr>
          <w:rFonts w:hint="eastAsia" w:cs="仿宋" w:asciiTheme="minorEastAsia" w:hAnsiTheme="minorEastAsia"/>
          <w:b/>
          <w:sz w:val="24"/>
          <w:szCs w:val="24"/>
          <w:highlight w:val="none"/>
        </w:rPr>
        <w:t xml:space="preserve">、</w:t>
      </w:r>
      <w:r>
        <w:rPr>
          <w:rFonts w:cs="仿宋" w:asciiTheme="minorEastAsia" w:hAnsiTheme="minorEastAsia"/>
          <w:b/>
          <w:sz w:val="24"/>
          <w:szCs w:val="24"/>
          <w:highlight w:val="none"/>
        </w:rPr>
        <w:t xml:space="preserve">加注“▲”符号的重要条款指标</w:t>
      </w:r>
      <w:r>
        <w:rPr>
          <w:rFonts w:hint="eastAsia" w:cs="仿宋" w:asciiTheme="minorEastAsia" w:hAnsiTheme="minorEastAsia"/>
          <w:b/>
          <w:sz w:val="24"/>
          <w:szCs w:val="24"/>
          <w:highlight w:val="none"/>
        </w:rPr>
        <w:t xml:space="preserve">、</w:t>
      </w:r>
      <w:r>
        <w:rPr>
          <w:rFonts w:cs="仿宋" w:asciiTheme="minorEastAsia" w:hAnsiTheme="minorEastAsia"/>
          <w:b/>
          <w:sz w:val="24"/>
          <w:szCs w:val="24"/>
          <w:highlight w:val="none"/>
        </w:rPr>
        <w:t xml:space="preserve">一般条款指标</w:t>
      </w:r>
      <w:r>
        <w:rPr>
          <w:rFonts w:hint="eastAsia" w:cs="仿宋" w:asciiTheme="minorEastAsia" w:hAnsiTheme="minorEastAsia"/>
          <w:b/>
          <w:sz w:val="24"/>
          <w:szCs w:val="24"/>
          <w:highlight w:val="none"/>
        </w:rPr>
        <w:t xml:space="preserve">中要求提供相关材料的均须提供证明材料，包括但不限于公开发行的产品彩页、产品说明书或第三方检测机构出具的检测报告等，未提供的评委有权认定相关指标响应为负偏离。</w:t>
      </w:r>
      <w:r>
        <w:rPr>
          <w:highlight w:val="none"/>
        </w:rPr>
      </w:r>
      <w:r>
        <w:rPr>
          <w:highlight w:val="none"/>
        </w:rP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4.3</w:t>
      </w:r>
      <w:r>
        <w:rPr>
          <w:rFonts w:hint="eastAsia" w:cs="仿宋" w:asciiTheme="minorEastAsia" w:hAnsiTheme="minorEastAsia"/>
          <w:b/>
          <w:sz w:val="24"/>
          <w:szCs w:val="24"/>
          <w:highlight w:val="none"/>
        </w:rPr>
        <w:t xml:space="preserve">商务要求条款均为实质性要求不允许负偏离，否则投标无效。</w:t>
      </w:r>
      <w:r>
        <w:rPr>
          <w:highlight w:val="none"/>
        </w:rPr>
        <w:br w:type="page" w:clear="all"/>
      </w:r>
      <w:r>
        <w:rPr>
          <w:highlight w:val="none"/>
        </w:rPr>
      </w:r>
      <w:r>
        <w:rPr>
          <w:highlight w:val="none"/>
        </w:rPr>
      </w:r>
    </w:p>
    <w:p>
      <w:pPr>
        <w:pStyle w:val="800"/>
        <w:jc w:val="center"/>
        <w:rPr>
          <w:highlight w:val="none"/>
        </w:rPr>
      </w:pPr>
      <w:r>
        <w:rPr>
          <w:rFonts w:hint="eastAsia" w:ascii="微软雅黑" w:hAnsi="微软雅黑" w:eastAsia="微软雅黑" w:cs="微软雅黑"/>
          <w:highlight w:val="none"/>
        </w:rPr>
        <w:t xml:space="preserve">第五章</w:t>
      </w:r>
      <w:r>
        <w:rPr>
          <w:highlight w:val="none"/>
        </w:rPr>
        <w:t xml:space="preserve">  </w:t>
      </w:r>
      <w:r>
        <w:rPr>
          <w:rFonts w:hint="eastAsia" w:ascii="微软雅黑" w:hAnsi="微软雅黑" w:eastAsia="微软雅黑" w:cs="微软雅黑"/>
          <w:highlight w:val="none"/>
        </w:rPr>
        <w:t xml:space="preserve">评标方法与评标标准</w:t>
      </w:r>
      <w:r>
        <w:rPr>
          <w:highlight w:val="none"/>
        </w:rPr>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eastAsia="Times New Roman"/>
          <w:sz w:val="28"/>
          <w:highlight w:val="none"/>
        </w:rPr>
        <w:t xml:space="preserve"> </w:t>
      </w:r>
      <w:r>
        <w:rPr>
          <w:highlight w:val="none"/>
        </w:rPr>
      </w:r>
      <w:r>
        <w:rPr>
          <w:highlight w:val="none"/>
        </w:rPr>
      </w:r>
    </w:p>
    <w:p>
      <w:pPr>
        <w:ind w:firstLine="512"/>
        <w:spacing w:before="120" w:after="12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ascii="仿宋" w:hAnsi="仿宋" w:eastAsia="仿宋" w:cs="仿宋"/>
          <w:sz w:val="28"/>
          <w:highlight w:val="none"/>
        </w:rPr>
        <w:t xml:space="preserve">且按照</w:t>
      </w:r>
      <w:r>
        <w:rPr>
          <w:rFonts w:ascii="仿宋" w:hAnsi="仿宋" w:eastAsia="仿宋" w:cs="仿宋"/>
          <w:sz w:val="28"/>
          <w:highlight w:val="none"/>
        </w:rPr>
        <w:t xml:space="preserve">评审因素的量化指标评审得分最高的投标人为中标候选人。本项目选取1名中标候选人。</w:t>
      </w:r>
      <w:r>
        <w:rPr>
          <w:highlight w:val="none"/>
        </w:rPr>
      </w:r>
      <w:r>
        <w:rPr>
          <w:highlight w:val="none"/>
        </w:rPr>
      </w:r>
    </w:p>
    <w:p>
      <w:pPr>
        <w:ind w:firstLine="512"/>
        <w:spacing w:before="120" w:after="1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jc w:val="both"/>
        <w:rPr>
          <w:rFonts w:eastAsia="Times New Roman"/>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评标方法与评标标准</w:t>
      </w:r>
      <w:r>
        <w:rPr>
          <w:highlight w:val="none"/>
        </w:rPr>
      </w:r>
      <w:r>
        <w:rPr>
          <w:highlight w:val="none"/>
        </w:rPr>
      </w:r>
    </w:p>
    <w:tbl>
      <w:tblPr>
        <w:tblStyle w:val="836"/>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08"/>
        <w:gridCol w:w="7027"/>
      </w:tblGrid>
      <w:tr>
        <w:trPr>
          <w:jc w:val="cente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评审因素</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评审标准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价格</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采用低价优先法计算，即满足招标文件要求且投标价格最低的投标报价为评标基准价，其价格分为满分30分。</w:t>
            </w:r>
            <w:r>
              <w:rPr>
                <w:highlight w:val="none"/>
              </w:rPr>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其他投标人的价格</w:t>
            </w:r>
            <w:r>
              <w:rPr>
                <w:rFonts w:ascii="仿宋" w:hAnsi="仿宋" w:eastAsia="仿宋" w:cs="仿宋"/>
                <w:sz w:val="28"/>
                <w:highlight w:val="none"/>
              </w:rPr>
              <w:t xml:space="preserve">分统一</w:t>
            </w:r>
            <w:r>
              <w:rPr>
                <w:rFonts w:ascii="仿宋" w:hAnsi="仿宋" w:eastAsia="仿宋" w:cs="仿宋"/>
                <w:sz w:val="28"/>
                <w:highlight w:val="none"/>
              </w:rPr>
              <w:t xml:space="preserve">按照下列公式计算：</w:t>
            </w:r>
            <w:r>
              <w:rPr>
                <w:highlight w:val="none"/>
              </w:rPr>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投标报价得分=(评标基准价/投标报价)×30（小数点保留两位）。</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技术要求响应</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w:t>
            </w:r>
            <w:r>
              <w:rPr>
                <w:rFonts w:hint="eastAsia" w:ascii="仿宋" w:hAnsi="仿宋" w:eastAsia="仿宋" w:cs="仿宋"/>
                <w:sz w:val="28"/>
                <w:highlight w:val="none"/>
              </w:rPr>
              <w:t xml:space="preserve">9</w:t>
            </w:r>
            <w:r>
              <w:rPr>
                <w:rFonts w:ascii="仿宋" w:hAnsi="仿宋" w:eastAsia="仿宋" w:cs="仿宋"/>
                <w:sz w:val="28"/>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评委根据投标文件中《技术</w:t>
            </w:r>
            <w:r>
              <w:rPr>
                <w:rFonts w:hint="eastAsia" w:ascii="仿宋" w:hAnsi="仿宋" w:eastAsia="仿宋" w:cs="仿宋"/>
                <w:sz w:val="28"/>
                <w:highlight w:val="none"/>
              </w:rPr>
              <w:t xml:space="preserve">要求</w:t>
            </w:r>
            <w:r>
              <w:rPr>
                <w:rFonts w:ascii="仿宋" w:hAnsi="仿宋" w:eastAsia="仿宋" w:cs="仿宋"/>
                <w:sz w:val="28"/>
                <w:highlight w:val="none"/>
              </w:rPr>
              <w:t xml:space="preserve">响应</w:t>
            </w:r>
            <w:r>
              <w:rPr>
                <w:rFonts w:hint="eastAsia" w:ascii="仿宋" w:hAnsi="仿宋" w:eastAsia="仿宋" w:cs="仿宋"/>
                <w:sz w:val="28"/>
                <w:highlight w:val="none"/>
              </w:rPr>
              <w:t xml:space="preserve">及</w:t>
            </w:r>
            <w:r>
              <w:rPr>
                <w:rFonts w:ascii="仿宋" w:hAnsi="仿宋" w:eastAsia="仿宋" w:cs="仿宋"/>
                <w:sz w:val="28"/>
                <w:highlight w:val="none"/>
              </w:rPr>
              <w:t xml:space="preserve">偏离表》，结合投标文件提供的佐证材料等进行评审：</w:t>
            </w:r>
            <w:r>
              <w:rPr>
                <w:highlight w:val="none"/>
              </w:rPr>
            </w:r>
            <w:r>
              <w:rPr>
                <w:highlight w:val="none"/>
              </w:rPr>
            </w:r>
          </w:p>
          <w:p>
            <w:pPr>
              <w:jc w:val="both"/>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加注</w:t>
            </w:r>
            <w:r>
              <w:rPr>
                <w:rFonts w:ascii="仿宋" w:hAnsi="仿宋" w:eastAsia="仿宋" w:cs="仿宋"/>
                <w:sz w:val="28"/>
                <w:highlight w:val="none"/>
              </w:rPr>
              <w:t xml:space="preserve">“★”</w:t>
            </w:r>
            <w:r>
              <w:rPr>
                <w:rFonts w:hint="eastAsia" w:ascii="仿宋" w:hAnsi="仿宋" w:eastAsia="仿宋" w:cs="仿宋"/>
                <w:sz w:val="28"/>
                <w:highlight w:val="none"/>
              </w:rPr>
              <w:t xml:space="preserve">符号的关键</w:t>
            </w:r>
            <w:r>
              <w:rPr>
                <w:rFonts w:ascii="仿宋" w:hAnsi="仿宋" w:eastAsia="仿宋" w:cs="仿宋"/>
                <w:sz w:val="28"/>
                <w:highlight w:val="none"/>
              </w:rPr>
              <w:t xml:space="preserve">指标不允许负偏离，否则投标无效；</w:t>
            </w:r>
            <w:r>
              <w:rPr>
                <w:highlight w:val="none"/>
              </w:rPr>
            </w:r>
            <w:r>
              <w:rPr>
                <w:highlight w:val="none"/>
              </w:rPr>
            </w:r>
          </w:p>
          <w:p>
            <w:pPr>
              <w:jc w:val="both"/>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加注“▲”符号的重要指标有一项</w:t>
            </w:r>
            <w:r>
              <w:rPr>
                <w:rFonts w:hint="eastAsia" w:ascii="仿宋" w:hAnsi="仿宋" w:eastAsia="仿宋" w:cs="仿宋"/>
                <w:sz w:val="28"/>
                <w:highlight w:val="none"/>
              </w:rPr>
              <w:t xml:space="preserve">正</w:t>
            </w:r>
            <w:r>
              <w:rPr>
                <w:rFonts w:ascii="仿宋" w:hAnsi="仿宋" w:eastAsia="仿宋" w:cs="仿宋"/>
                <w:sz w:val="28"/>
                <w:highlight w:val="none"/>
              </w:rPr>
              <w:t xml:space="preserve">偏离或</w:t>
            </w:r>
            <w:r>
              <w:rPr>
                <w:rFonts w:hint="eastAsia" w:ascii="仿宋" w:hAnsi="仿宋" w:eastAsia="仿宋" w:cs="仿宋"/>
                <w:sz w:val="28"/>
                <w:highlight w:val="none"/>
              </w:rPr>
              <w:t xml:space="preserve">响应加2</w:t>
            </w:r>
            <w:r>
              <w:rPr>
                <w:rFonts w:ascii="仿宋" w:hAnsi="仿宋" w:eastAsia="仿宋" w:cs="仿宋"/>
                <w:sz w:val="28"/>
                <w:highlight w:val="none"/>
              </w:rPr>
              <w:t xml:space="preserve">分</w:t>
            </w:r>
            <w:r>
              <w:rPr>
                <w:rFonts w:hint="eastAsia" w:ascii="仿宋" w:hAnsi="仿宋" w:eastAsia="仿宋" w:cs="仿宋"/>
                <w:sz w:val="28"/>
                <w:highlight w:val="none"/>
              </w:rPr>
              <w:t xml:space="preserve">；</w:t>
            </w:r>
            <w:r>
              <w:rPr>
                <w:highlight w:val="none"/>
              </w:rPr>
            </w:r>
            <w:r>
              <w:rPr>
                <w:highlight w:val="none"/>
              </w:rPr>
            </w:r>
          </w:p>
          <w:p>
            <w:pPr>
              <w:jc w:val="both"/>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其它</w:t>
            </w:r>
            <w:r>
              <w:rPr>
                <w:rFonts w:ascii="仿宋" w:hAnsi="仿宋" w:eastAsia="仿宋" w:cs="仿宋"/>
                <w:sz w:val="28"/>
                <w:highlight w:val="none"/>
              </w:rPr>
              <w:t xml:space="preserve">一般指标</w:t>
            </w:r>
            <w:r>
              <w:rPr>
                <w:rFonts w:hint="eastAsia" w:ascii="仿宋" w:hAnsi="仿宋" w:eastAsia="仿宋" w:cs="仿宋"/>
                <w:sz w:val="28"/>
                <w:highlight w:val="none"/>
              </w:rPr>
              <w:t xml:space="preserve">每</w:t>
            </w:r>
            <w:r>
              <w:rPr>
                <w:rFonts w:ascii="仿宋" w:hAnsi="仿宋" w:eastAsia="仿宋" w:cs="仿宋"/>
                <w:sz w:val="28"/>
                <w:highlight w:val="none"/>
              </w:rPr>
              <w:t xml:space="preserve">有一项</w:t>
            </w:r>
            <w:r>
              <w:rPr>
                <w:rFonts w:hint="eastAsia" w:ascii="仿宋" w:hAnsi="仿宋" w:eastAsia="仿宋" w:cs="仿宋"/>
                <w:sz w:val="28"/>
                <w:highlight w:val="none"/>
              </w:rPr>
              <w:t xml:space="preserve">正</w:t>
            </w:r>
            <w:r>
              <w:rPr>
                <w:rFonts w:ascii="仿宋" w:hAnsi="仿宋" w:eastAsia="仿宋" w:cs="仿宋"/>
                <w:sz w:val="28"/>
                <w:highlight w:val="none"/>
              </w:rPr>
              <w:t xml:space="preserve">偏离或</w:t>
            </w:r>
            <w:r>
              <w:rPr>
                <w:rFonts w:hint="eastAsia" w:ascii="仿宋" w:hAnsi="仿宋" w:eastAsia="仿宋" w:cs="仿宋"/>
                <w:sz w:val="28"/>
                <w:highlight w:val="none"/>
              </w:rPr>
              <w:t xml:space="preserve">响应加1</w:t>
            </w:r>
            <w:r>
              <w:rPr>
                <w:rFonts w:ascii="仿宋" w:hAnsi="仿宋" w:eastAsia="仿宋" w:cs="仿宋"/>
                <w:sz w:val="28"/>
                <w:highlight w:val="none"/>
              </w:rPr>
              <w:t xml:space="preserve">分</w:t>
            </w:r>
            <w:r>
              <w:rPr>
                <w:rFonts w:hint="eastAsia" w:ascii="仿宋" w:hAnsi="仿宋" w:eastAsia="仿宋" w:cs="仿宋"/>
                <w:sz w:val="28"/>
                <w:highlight w:val="none"/>
              </w:rPr>
              <w:t xml:space="preserve">；</w:t>
            </w:r>
            <w:r>
              <w:rPr>
                <w:highlight w:val="none"/>
              </w:rPr>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本项满分</w:t>
            </w:r>
            <w:r>
              <w:rPr>
                <w:rFonts w:ascii="仿宋" w:hAnsi="仿宋" w:eastAsia="仿宋" w:cs="仿宋"/>
                <w:sz w:val="28"/>
                <w:highlight w:val="none"/>
              </w:rPr>
              <w:t xml:space="preserve">3</w:t>
            </w:r>
            <w:r>
              <w:rPr>
                <w:rFonts w:hint="eastAsia" w:ascii="仿宋" w:hAnsi="仿宋" w:eastAsia="仿宋" w:cs="仿宋"/>
                <w:sz w:val="28"/>
                <w:highlight w:val="none"/>
              </w:rPr>
              <w:t xml:space="preserve">9</w:t>
            </w:r>
            <w:r>
              <w:rPr>
                <w:rFonts w:ascii="仿宋" w:hAnsi="仿宋" w:eastAsia="仿宋" w:cs="仿宋"/>
                <w:sz w:val="28"/>
                <w:highlight w:val="none"/>
              </w:rPr>
              <w:t xml:space="preserve">分</w:t>
            </w:r>
            <w:r>
              <w:rPr>
                <w:rFonts w:hint="eastAsia" w:ascii="仿宋" w:hAnsi="仿宋" w:eastAsia="仿宋" w:cs="仿宋"/>
                <w:sz w:val="28"/>
                <w:highlight w:val="none"/>
              </w:rPr>
              <w:t xml:space="preserve">。</w:t>
            </w:r>
            <w:r>
              <w:rPr>
                <w:highlight w:val="none"/>
              </w:rPr>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注：投标人需按照本采购文件第四章的技术要求，在“技术参数响应及偏离表”中如实详细填列所投产品的参数，并</w:t>
            </w:r>
            <w:r>
              <w:rPr>
                <w:rFonts w:hint="eastAsia" w:ascii="仿宋" w:hAnsi="仿宋" w:eastAsia="仿宋" w:cs="仿宋"/>
                <w:sz w:val="28"/>
                <w:highlight w:val="none"/>
              </w:rPr>
              <w:t xml:space="preserve">按要求</w:t>
            </w:r>
            <w:r>
              <w:rPr>
                <w:rFonts w:ascii="仿宋" w:hAnsi="仿宋" w:eastAsia="仿宋" w:cs="仿宋"/>
                <w:sz w:val="28"/>
                <w:highlight w:val="none"/>
              </w:rPr>
              <w:t xml:space="preserve">提供佐证材料，否则评标委员会有权做负偏离处理。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质保期</w:t>
            </w:r>
            <w:r>
              <w:rPr>
                <w:highlight w:val="none"/>
              </w:rPr>
            </w:r>
            <w:r>
              <w:rPr>
                <w:highlight w:val="none"/>
              </w:rPr>
            </w:r>
          </w:p>
          <w:p>
            <w:pPr>
              <w:jc w:val="center"/>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满足采购文件中1年整机原厂质保(含所有附件)的基础上，每增加1年原厂质保得1分，最多</w:t>
            </w:r>
            <w:r>
              <w:rPr>
                <w:rFonts w:hint="eastAsia" w:ascii="仿宋" w:hAnsi="仿宋" w:eastAsia="仿宋" w:cs="仿宋"/>
                <w:sz w:val="28"/>
                <w:highlight w:val="none"/>
              </w:rPr>
              <w:tab/>
              <w:t xml:space="preserve">得2分。</w:t>
            </w:r>
            <w:r>
              <w:rPr>
                <w:rFonts w:hint="eastAsia" w:ascii="仿宋" w:hAnsi="仿宋" w:eastAsia="仿宋" w:cs="仿宋"/>
                <w:b/>
                <w:bCs/>
                <w:color w:val="ff0000"/>
                <w:sz w:val="28"/>
                <w:highlight w:val="none"/>
              </w:rPr>
              <w:t xml:space="preserve">（提供承诺函）</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业绩</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4</w:t>
            </w:r>
            <w:r>
              <w:rPr>
                <w:rFonts w:ascii="仿宋" w:hAnsi="仿宋" w:eastAsia="仿宋" w:cs="仿宋"/>
                <w:sz w:val="28"/>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提供自202</w:t>
            </w:r>
            <w:r>
              <w:rPr>
                <w:rFonts w:hint="eastAsia" w:ascii="仿宋" w:hAnsi="仿宋" w:eastAsia="仿宋" w:cs="仿宋"/>
                <w:sz w:val="28"/>
                <w:highlight w:val="none"/>
              </w:rPr>
              <w:t xml:space="preserve">2</w:t>
            </w:r>
            <w:r>
              <w:rPr>
                <w:rFonts w:ascii="仿宋" w:hAnsi="仿宋" w:eastAsia="仿宋" w:cs="仿宋"/>
                <w:sz w:val="28"/>
                <w:highlight w:val="none"/>
              </w:rPr>
              <w:t xml:space="preserve">年1月1日以来（以合同签订时间为准）完成同品牌</w:t>
            </w:r>
            <w:r>
              <w:rPr>
                <w:rFonts w:hint="eastAsia" w:ascii="仿宋" w:hAnsi="仿宋" w:eastAsia="仿宋" w:cs="仿宋"/>
                <w:sz w:val="28"/>
                <w:highlight w:val="none"/>
              </w:rPr>
              <w:t xml:space="preserve">同型号</w:t>
            </w:r>
            <w:r>
              <w:rPr>
                <w:rFonts w:hint="eastAsia" w:ascii="仿宋" w:hAnsi="仿宋" w:eastAsia="仿宋" w:cs="仿宋"/>
                <w:sz w:val="28"/>
                <w:highlight w:val="none"/>
              </w:rPr>
              <w:t xml:space="preserve">产品业绩</w:t>
            </w:r>
            <w:r>
              <w:rPr>
                <w:rFonts w:ascii="仿宋" w:hAnsi="仿宋" w:eastAsia="仿宋" w:cs="仿宋"/>
                <w:sz w:val="28"/>
                <w:highlight w:val="none"/>
              </w:rPr>
              <w:t xml:space="preserve">，每提供一</w:t>
            </w:r>
            <w:r>
              <w:rPr>
                <w:rFonts w:hint="eastAsia" w:ascii="仿宋" w:hAnsi="仿宋" w:eastAsia="仿宋" w:cs="仿宋"/>
                <w:sz w:val="28"/>
                <w:highlight w:val="none"/>
              </w:rPr>
              <w:t xml:space="preserve">份合同（复印件）</w:t>
            </w:r>
            <w:r>
              <w:rPr>
                <w:rFonts w:ascii="仿宋" w:hAnsi="仿宋" w:eastAsia="仿宋" w:cs="仿宋"/>
                <w:sz w:val="28"/>
                <w:highlight w:val="none"/>
              </w:rPr>
              <w:t xml:space="preserve">得</w:t>
            </w:r>
            <w:r>
              <w:rPr>
                <w:rFonts w:hint="eastAsia" w:ascii="仿宋" w:hAnsi="仿宋" w:eastAsia="仿宋" w:cs="仿宋"/>
                <w:sz w:val="28"/>
                <w:highlight w:val="none"/>
              </w:rPr>
              <w:t xml:space="preserve">1</w:t>
            </w:r>
            <w:r>
              <w:rPr>
                <w:rFonts w:ascii="仿宋" w:hAnsi="仿宋" w:eastAsia="仿宋" w:cs="仿宋"/>
                <w:sz w:val="28"/>
                <w:highlight w:val="none"/>
              </w:rPr>
              <w:t xml:space="preserve">分</w:t>
            </w:r>
            <w:r>
              <w:rPr>
                <w:rFonts w:hint="eastAsia" w:ascii="仿宋" w:hAnsi="仿宋" w:eastAsia="仿宋" w:cs="仿宋"/>
                <w:sz w:val="28"/>
                <w:highlight w:val="none"/>
              </w:rPr>
              <w:t xml:space="preserve">，</w:t>
            </w:r>
            <w:r>
              <w:rPr>
                <w:rFonts w:ascii="仿宋" w:hAnsi="仿宋" w:eastAsia="仿宋" w:cs="仿宋"/>
                <w:sz w:val="28"/>
                <w:highlight w:val="none"/>
              </w:rPr>
              <w:t xml:space="preserve">满分</w:t>
            </w:r>
            <w:r>
              <w:rPr>
                <w:rFonts w:hint="eastAsia" w:ascii="仿宋" w:hAnsi="仿宋" w:eastAsia="仿宋" w:cs="仿宋"/>
                <w:sz w:val="28"/>
                <w:highlight w:val="none"/>
              </w:rPr>
              <w:t xml:space="preserve">4</w:t>
            </w:r>
            <w:r>
              <w:rPr>
                <w:rFonts w:ascii="仿宋" w:hAnsi="仿宋" w:eastAsia="仿宋" w:cs="仿宋"/>
                <w:sz w:val="28"/>
                <w:highlight w:val="none"/>
              </w:rPr>
              <w:t xml:space="preserve">分。</w:t>
            </w:r>
            <w:r>
              <w:rPr>
                <w:rFonts w:hint="eastAsia" w:ascii="仿宋" w:hAnsi="仿宋" w:eastAsia="仿宋" w:cs="仿宋"/>
                <w:sz w:val="28"/>
                <w:highlight w:val="none"/>
              </w:rPr>
              <w:t xml:space="preserve">合同关键信息无遮盖，包含产品型号、采购方名称等并</w:t>
            </w:r>
            <w:r>
              <w:rPr>
                <w:rFonts w:hint="eastAsia" w:ascii="仿宋" w:hAnsi="仿宋" w:eastAsia="仿宋" w:cs="仿宋"/>
                <w:sz w:val="28"/>
                <w:highlight w:val="none"/>
              </w:rPr>
              <w:t xml:space="preserve">加盖签署</w:t>
            </w:r>
            <w:r>
              <w:rPr>
                <w:rFonts w:hint="eastAsia" w:ascii="仿宋" w:hAnsi="仿宋" w:eastAsia="仿宋" w:cs="仿宋"/>
                <w:sz w:val="28"/>
                <w:highlight w:val="none"/>
              </w:rPr>
              <w:t xml:space="preserve">双方公章</w:t>
            </w:r>
            <w:r>
              <w:rPr>
                <w:rFonts w:ascii="仿宋" w:hAnsi="仿宋" w:eastAsia="仿宋" w:cs="仿宋"/>
                <w:sz w:val="28"/>
                <w:highlight w:val="none"/>
              </w:rPr>
              <w:t xml:space="preserve">。同一采购</w:t>
            </w:r>
            <w:r>
              <w:rPr>
                <w:rFonts w:hint="eastAsia" w:ascii="仿宋" w:hAnsi="仿宋" w:eastAsia="仿宋" w:cs="仿宋"/>
                <w:sz w:val="28"/>
                <w:highlight w:val="none"/>
              </w:rPr>
              <w:t xml:space="preserve">方</w:t>
            </w:r>
            <w:r>
              <w:rPr>
                <w:rFonts w:ascii="仿宋" w:hAnsi="仿宋" w:eastAsia="仿宋" w:cs="仿宋"/>
                <w:sz w:val="28"/>
                <w:highlight w:val="none"/>
              </w:rPr>
              <w:t xml:space="preserve">不重复计分。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项目实施方案</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根据各投标人提供的项目实施方案内容（包括但不限于</w:t>
            </w:r>
            <w:r>
              <w:rPr>
                <w:rFonts w:hint="eastAsia" w:ascii="仿宋" w:hAnsi="仿宋" w:eastAsia="仿宋" w:cs="宋体"/>
                <w:b/>
                <w:bCs/>
                <w:sz w:val="28"/>
                <w:szCs w:val="28"/>
                <w:highlight w:val="none"/>
              </w:rPr>
              <w:t xml:space="preserve">a项目整体管理方案、b人员组织管理及架构设置、c投标人与上游供应链及终端用户沟通渠道保障、d项目整体实施进度计划及推进方案、e项目整体安全保障措施</w:t>
            </w:r>
            <w:r>
              <w:rPr>
                <w:rFonts w:hint="eastAsia" w:ascii="仿宋" w:hAnsi="仿宋" w:eastAsia="仿宋" w:cs="宋体"/>
                <w:sz w:val="28"/>
                <w:szCs w:val="28"/>
                <w:highlight w:val="none"/>
              </w:rPr>
              <w:t xml:space="preserve">等）的完备程度及针对性、合理性进行评审：</w:t>
            </w:r>
            <w:r>
              <w:rPr>
                <w:highlight w:val="none"/>
              </w:rPr>
            </w:r>
            <w:r>
              <w:rPr>
                <w:highlight w:val="none"/>
              </w:rPr>
            </w:r>
          </w:p>
          <w:p>
            <w:pPr>
              <w:jc w:val="both"/>
              <w:rPr>
                <w:rFonts w:ascii="仿宋" w:hAnsi="仿宋" w:eastAsia="仿宋"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highlight w:val="none"/>
              </w:rPr>
              <w:t xml:space="preserve">完全涵盖以上5项内容最多得5分；包含任意1项最多得1分。 </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注：评标委员会根据各供应商的对应响应方案按照以下量化评审因素指标对各项要求进行满足性判断：</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1、方案内容完整清晰、安排合理、完全针对采购人需求优化设计的，得1分；</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2、方案内容不够完整清晰、安排合理性不足、未针对采购人需求设计的，得0.5分；</w:t>
            </w:r>
            <w:r>
              <w:rPr>
                <w:highlight w:val="none"/>
              </w:rPr>
            </w:r>
            <w:r>
              <w:rPr>
                <w:highlight w:val="none"/>
              </w:rPr>
            </w:r>
          </w:p>
          <w:p>
            <w:pPr>
              <w:jc w:val="both"/>
              <w:rPr>
                <w:rFonts w:ascii="仿宋" w:hAnsi="仿宋" w:eastAsia="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运输安装调试方案</w:t>
            </w:r>
            <w:r>
              <w:rPr>
                <w:rFonts w:ascii="仿宋" w:hAnsi="仿宋" w:eastAsia="仿宋" w:cs="仿宋"/>
                <w:sz w:val="28"/>
                <w:highlight w:val="none"/>
              </w:rPr>
              <w:t xml:space="preserve">（</w:t>
            </w:r>
            <w:r>
              <w:rPr>
                <w:rFonts w:hint="eastAsia" w:ascii="仿宋" w:hAnsi="仿宋" w:eastAsia="仿宋" w:cs="仿宋"/>
                <w:sz w:val="28"/>
                <w:highlight w:val="none"/>
              </w:rPr>
              <w:t xml:space="preserve">6</w:t>
            </w:r>
            <w:r>
              <w:rPr>
                <w:rFonts w:ascii="仿宋" w:hAnsi="仿宋" w:eastAsia="仿宋" w:cs="仿宋"/>
                <w:sz w:val="28"/>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根据各投标人针对本项目拟定的运输安装调试方案（包括但不限于</w:t>
            </w:r>
            <w:r>
              <w:rPr>
                <w:rFonts w:hint="eastAsia" w:ascii="仿宋" w:hAnsi="仿宋" w:eastAsia="仿宋" w:cs="宋体"/>
                <w:b/>
                <w:bCs/>
                <w:sz w:val="28"/>
                <w:szCs w:val="28"/>
                <w:highlight w:val="none"/>
              </w:rPr>
              <w:t xml:space="preserve">a设备出厂质检内容及包装、b设备出库、运输及货物保障、c设备安装及初始化调试、d设备验收检查流程、e运输安全保障方案、f技术人员配置及各流程交接方案</w:t>
            </w:r>
            <w:r>
              <w:rPr>
                <w:rFonts w:hint="eastAsia" w:ascii="仿宋" w:hAnsi="仿宋" w:eastAsia="仿宋" w:cs="宋体"/>
                <w:sz w:val="28"/>
                <w:szCs w:val="28"/>
                <w:highlight w:val="none"/>
              </w:rPr>
              <w:t xml:space="preserve">等）进行评审：</w:t>
            </w:r>
            <w:r>
              <w:rPr>
                <w:highlight w:val="none"/>
              </w:rPr>
            </w:r>
            <w:r>
              <w:rPr>
                <w:highlight w:val="none"/>
              </w:rPr>
            </w:r>
          </w:p>
          <w:p>
            <w:pPr>
              <w:jc w:val="both"/>
              <w:rPr>
                <w:rFonts w:ascii="仿宋" w:hAnsi="仿宋" w:eastAsia="仿宋"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highlight w:val="none"/>
              </w:rPr>
              <w:t xml:space="preserve">完全涵盖以上6项内容最多得6分；包含任意1项最多得1分。 </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注：评标委员会根据各供应商的对应响应方案按照以下量化评审因素指标对各项要求进行满足性判断：</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1、安装调试方案完整详尽，专业性、可行性强，考虑周全，思路特别清晰，符合项目需求，得1分；</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2、对项目执行有一定认识，方案较为完整，思路基本清晰，基本符合项目需求，该项得0.5分；</w:t>
            </w:r>
            <w:r>
              <w:rPr>
                <w:highlight w:val="none"/>
              </w:rPr>
            </w:r>
            <w:r>
              <w:rPr>
                <w:highlight w:val="none"/>
              </w:rPr>
            </w:r>
          </w:p>
          <w:p>
            <w:pPr>
              <w:jc w:val="both"/>
              <w:rPr>
                <w:rFonts w:ascii="仿宋" w:hAnsi="仿宋" w:eastAsia="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培训方案</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5</w:t>
            </w:r>
            <w:r>
              <w:rPr>
                <w:rFonts w:ascii="仿宋" w:hAnsi="仿宋" w:eastAsia="仿宋" w:cs="仿宋"/>
                <w:sz w:val="28"/>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根据各投标人针对本项目拟定的培训方案（包括但不限于</w:t>
            </w:r>
            <w:r>
              <w:rPr>
                <w:rFonts w:hint="eastAsia" w:ascii="仿宋" w:hAnsi="仿宋" w:eastAsia="仿宋" w:cs="宋体"/>
                <w:b/>
                <w:bCs/>
                <w:sz w:val="28"/>
                <w:szCs w:val="28"/>
                <w:highlight w:val="none"/>
              </w:rPr>
              <w:t xml:space="preserve">a日常操作培训、b应急使用培训、c日常维护保养培训、d更新功能使用培训、e培训计划及师资安排</w:t>
            </w:r>
            <w:r>
              <w:rPr>
                <w:rFonts w:hint="eastAsia" w:ascii="仿宋" w:hAnsi="仿宋" w:eastAsia="仿宋" w:cs="宋体"/>
                <w:sz w:val="28"/>
                <w:szCs w:val="28"/>
                <w:highlight w:val="none"/>
              </w:rPr>
              <w:t xml:space="preserve">等）进行评审：</w:t>
            </w:r>
            <w:r>
              <w:rPr>
                <w:highlight w:val="none"/>
              </w:rPr>
            </w:r>
            <w:r>
              <w:rPr>
                <w:highlight w:val="none"/>
              </w:rPr>
            </w:r>
          </w:p>
          <w:p>
            <w:pPr>
              <w:jc w:val="both"/>
              <w:rPr>
                <w:rFonts w:ascii="仿宋" w:hAnsi="仿宋" w:eastAsia="仿宋"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highlight w:val="none"/>
              </w:rPr>
              <w:t xml:space="preserve">完全涵盖以上5项内容最多得5分；包含任意1项最多得1分。 </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注：评标委员会根据各供应商的对应响应方案按照以下量化评审因素指标对各项要求进行满足性判断：</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1、培训方案完整详尽，专业性、可行性强，考虑周全，思路特别清晰，符合项目需求，得1分；</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2、对项目执行有一定认识，方案较为完整，思路基本清晰，基本符合项目需求，该项得0.5分；</w:t>
            </w:r>
            <w:r>
              <w:rPr>
                <w:highlight w:val="none"/>
              </w:rPr>
            </w:r>
            <w:r>
              <w:rPr>
                <w:highlight w:val="none"/>
              </w:rPr>
            </w:r>
          </w:p>
          <w:p>
            <w:pPr>
              <w:jc w:val="both"/>
              <w:spacing w:line="65" w:lineRule="atLeast"/>
              <w:rPr>
                <w:rFonts w:ascii="仿宋" w:hAnsi="仿宋" w:eastAsia="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售后服务方案</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6</w:t>
            </w:r>
            <w:r>
              <w:rPr>
                <w:rFonts w:ascii="仿宋" w:hAnsi="仿宋" w:eastAsia="仿宋" w:cs="仿宋"/>
                <w:sz w:val="28"/>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根据各投标人针对本项目拟定的售后服务方案（包括但不限于</w:t>
            </w:r>
            <w:r>
              <w:rPr>
                <w:rFonts w:hint="eastAsia" w:ascii="仿宋" w:hAnsi="仿宋" w:eastAsia="仿宋" w:cs="宋体"/>
                <w:b/>
                <w:bCs/>
                <w:sz w:val="28"/>
                <w:szCs w:val="28"/>
                <w:highlight w:val="none"/>
              </w:rPr>
              <w:t xml:space="preserve">a维修响应时间及方式、b应急维修应对措施、c日常维护、巡检、保养方案、d零配件和维修备品备件的供应保障措施、e技术服务人员及场地配置情况、f质保期内的后续技术支持和软件升级或功能改造</w:t>
            </w:r>
            <w:r>
              <w:rPr>
                <w:rFonts w:hint="eastAsia" w:ascii="仿宋" w:hAnsi="仿宋" w:eastAsia="仿宋" w:cs="宋体"/>
                <w:sz w:val="28"/>
                <w:szCs w:val="28"/>
                <w:highlight w:val="none"/>
              </w:rPr>
              <w:t xml:space="preserve">等）进行评审：</w:t>
            </w:r>
            <w:r>
              <w:rPr>
                <w:highlight w:val="none"/>
              </w:rPr>
            </w:r>
            <w:r>
              <w:rPr>
                <w:highlight w:val="none"/>
              </w:rPr>
            </w:r>
          </w:p>
          <w:p>
            <w:pPr>
              <w:jc w:val="both"/>
              <w:rPr>
                <w:rFonts w:ascii="仿宋" w:hAnsi="仿宋" w:eastAsia="仿宋"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highlight w:val="none"/>
              </w:rPr>
              <w:t xml:space="preserve">完全涵盖以上6项内容最多得6分；包含任意1项最多得1分。 </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注：评标委员会根据各供应商的对应响应方案按照以下量化评审因素指标对各项要求进行满足性判断：</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1、售后方案完整详尽，专业性、可行性强，考虑周全，思路特别清晰，符合项目需求，得1分；</w:t>
            </w:r>
            <w:r>
              <w:rPr>
                <w:highlight w:val="none"/>
              </w:rPr>
            </w:r>
            <w:r>
              <w:rPr>
                <w:highlight w:val="none"/>
              </w:rPr>
            </w:r>
          </w:p>
          <w:p>
            <w:pPr>
              <w:jc w:val="both"/>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2、对项目执行有一定认识，方案较为完整，思路基本清晰，基本符合项目需求，该项得0.5分；</w:t>
            </w:r>
            <w:r>
              <w:rPr>
                <w:highlight w:val="none"/>
              </w:rPr>
            </w:r>
            <w:r>
              <w:rPr>
                <w:highlight w:val="none"/>
              </w:rPr>
            </w:r>
          </w:p>
          <w:p>
            <w:pPr>
              <w:jc w:val="both"/>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3、未提供或者经评标委员会认定完全不具备可行性的不得分。</w:t>
            </w:r>
            <w:r>
              <w:rPr>
                <w:highlight w:val="none"/>
              </w:rPr>
            </w:r>
            <w:r>
              <w:rPr>
                <w:highlight w:val="none"/>
              </w:rP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投标设备整体配置情况比较</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3</w:t>
            </w:r>
            <w:r>
              <w:rPr>
                <w:rFonts w:ascii="仿宋" w:hAnsi="仿宋" w:eastAsia="仿宋" w:cs="仿宋"/>
                <w:sz w:val="28"/>
                <w:highlight w:val="none"/>
              </w:rPr>
              <w:t xml:space="preserve">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投标设备整体配置选型情况综合比较，针对本项目的投标产品配置选型合理、先进，</w:t>
            </w:r>
            <w:r>
              <w:rPr>
                <w:rFonts w:hint="eastAsia" w:ascii="仿宋" w:hAnsi="仿宋" w:eastAsia="仿宋" w:cs="仿宋"/>
                <w:sz w:val="28"/>
                <w:highlight w:val="none"/>
              </w:rPr>
              <w:t xml:space="preserve">设计、材质明显有利于使用人员操作的</w:t>
            </w:r>
            <w:r>
              <w:rPr>
                <w:rFonts w:ascii="仿宋" w:hAnsi="仿宋" w:eastAsia="仿宋" w:cs="仿宋"/>
                <w:sz w:val="28"/>
                <w:highlight w:val="none"/>
              </w:rPr>
              <w:t xml:space="preserve">，得</w:t>
            </w:r>
            <w:r>
              <w:rPr>
                <w:rFonts w:hint="eastAsia" w:ascii="仿宋" w:hAnsi="仿宋" w:eastAsia="仿宋" w:cs="仿宋"/>
                <w:sz w:val="28"/>
                <w:highlight w:val="none"/>
              </w:rPr>
              <w:t xml:space="preserve">3</w:t>
            </w:r>
            <w:r>
              <w:rPr>
                <w:rFonts w:ascii="仿宋" w:hAnsi="仿宋" w:eastAsia="仿宋" w:cs="仿宋"/>
                <w:sz w:val="28"/>
                <w:highlight w:val="none"/>
              </w:rPr>
              <w:t xml:space="preserve">分；针对本项目的投标产品配置选型一般、且与项目需求的吻合度一般，</w:t>
            </w:r>
            <w:r>
              <w:rPr>
                <w:rFonts w:hint="eastAsia" w:ascii="仿宋" w:hAnsi="仿宋" w:eastAsia="仿宋" w:cs="仿宋"/>
                <w:sz w:val="28"/>
                <w:highlight w:val="none"/>
              </w:rPr>
              <w:t xml:space="preserve">部分设计、材质便于操作的，</w:t>
            </w:r>
            <w:r>
              <w:rPr>
                <w:rFonts w:ascii="仿宋" w:hAnsi="仿宋" w:eastAsia="仿宋" w:cs="仿宋"/>
                <w:sz w:val="28"/>
                <w:highlight w:val="none"/>
              </w:rPr>
              <w:t xml:space="preserve">得</w:t>
            </w:r>
            <w:r>
              <w:rPr>
                <w:rFonts w:hint="eastAsia" w:ascii="仿宋" w:hAnsi="仿宋" w:eastAsia="仿宋" w:cs="仿宋"/>
                <w:sz w:val="28"/>
                <w:highlight w:val="none"/>
              </w:rPr>
              <w:t xml:space="preserve">2</w:t>
            </w:r>
            <w:r>
              <w:rPr>
                <w:rFonts w:ascii="仿宋" w:hAnsi="仿宋" w:eastAsia="仿宋" w:cs="仿宋"/>
                <w:sz w:val="28"/>
                <w:highlight w:val="none"/>
              </w:rPr>
              <w:t xml:space="preserve">分；针对本项目的投标产品配置选型差、且与项目需求的吻合度差，</w:t>
            </w:r>
            <w:r>
              <w:rPr>
                <w:rFonts w:hint="eastAsia" w:ascii="仿宋" w:hAnsi="仿宋" w:eastAsia="仿宋" w:cs="仿宋"/>
                <w:sz w:val="28"/>
                <w:highlight w:val="none"/>
              </w:rPr>
              <w:t xml:space="preserve">材质、设计明显不利于使用的，</w:t>
            </w:r>
            <w:r>
              <w:rPr>
                <w:rFonts w:ascii="仿宋" w:hAnsi="仿宋" w:eastAsia="仿宋" w:cs="仿宋"/>
                <w:sz w:val="28"/>
                <w:highlight w:val="none"/>
              </w:rPr>
              <w:t xml:space="preserve">得1分；其余不得分。</w:t>
            </w:r>
            <w:r>
              <w:rPr>
                <w:highlight w:val="none"/>
              </w:rPr>
            </w:r>
            <w:r>
              <w:rPr>
                <w:highlight w:val="none"/>
              </w:rPr>
            </w:r>
          </w:p>
        </w:tc>
      </w:tr>
    </w:tbl>
    <w:p>
      <w:pPr>
        <w:pStyle w:val="800"/>
        <w:jc w:val="center"/>
        <w:rPr>
          <w:rFonts w:ascii="微软雅黑" w:hAnsi="微软雅黑" w:eastAsia="微软雅黑" w:cs="微软雅黑"/>
          <w:highlight w:val="none"/>
        </w:rPr>
      </w:pPr>
      <w:r>
        <w:rPr>
          <w:rFonts w:hint="eastAsia" w:ascii="仿宋" w:hAnsi="仿宋" w:eastAsia="仿宋" w:cs="仿宋"/>
          <w:bCs/>
          <w:sz w:val="24"/>
          <w:szCs w:val="24"/>
          <w:highlight w:val="none"/>
        </w:rPr>
        <w:br w:type="page" w:clear="all"/>
      </w:r>
      <w:r>
        <w:rPr>
          <w:rFonts w:hint="eastAsia" w:ascii="微软雅黑" w:hAnsi="微软雅黑" w:eastAsia="微软雅黑" w:cs="微软雅黑"/>
          <w:highlight w:val="none"/>
        </w:rPr>
        <w:t xml:space="preserve">第六章</w:t>
      </w:r>
      <w:r>
        <w:rPr>
          <w:rFonts w:ascii="微软雅黑" w:hAnsi="微软雅黑" w:eastAsia="微软雅黑" w:cs="微软雅黑"/>
          <w:highlight w:val="none"/>
        </w:rPr>
        <w:t xml:space="preserve">  </w:t>
      </w:r>
      <w:r>
        <w:rPr>
          <w:rFonts w:hint="eastAsia" w:ascii="微软雅黑" w:hAnsi="微软雅黑" w:eastAsia="微软雅黑" w:cs="微软雅黑"/>
          <w:highlight w:val="none"/>
        </w:rPr>
        <w:t xml:space="preserve">投标文件格式</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6"/>
          <w:highlight w:val="none"/>
        </w:rPr>
        <w:t xml:space="preserve"> </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52"/>
          <w:highlight w:val="none"/>
        </w:rPr>
        <w:t xml:space="preserve">投  标  文  件</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名 称：</w:t>
      </w:r>
      <w:r>
        <w:rPr>
          <w:highlight w:val="none"/>
        </w:rPr>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编 号：</w:t>
      </w:r>
      <w:r>
        <w:rPr>
          <w:highlight w:val="none"/>
        </w:rPr>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投标人名称 ：</w:t>
      </w:r>
      <w:r>
        <w:rPr>
          <w:rFonts w:ascii="宋体" w:hAnsi="宋体" w:eastAsia="宋体" w:cs="宋体"/>
          <w:b/>
          <w:sz w:val="36"/>
          <w:highlight w:val="none"/>
          <w:u w:val="single"/>
        </w:rPr>
        <w:t xml:space="preserve">（加盖CA电子公章）</w:t>
      </w:r>
      <w:r>
        <w:rPr>
          <w:highlight w:val="none"/>
        </w:rPr>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日      期 ：</w:t>
      </w:r>
      <w:r>
        <w:rPr>
          <w:highlight w:val="none"/>
        </w:rPr>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r>
        <w:rPr>
          <w:highlight w:val="none"/>
        </w:rPr>
      </w:r>
    </w:p>
    <w:p>
      <w:pPr>
        <w:jc w:val="both"/>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rFonts w:ascii="幼圆" w:hAnsi="幼圆" w:eastAsia="幼圆" w:cs="幼圆"/>
          <w:b/>
          <w:sz w:val="28"/>
          <w:highlight w:val="none"/>
        </w:rPr>
        <w:t xml:space="preserve">投标文件目录</w:t>
      </w:r>
      <w:r>
        <w:rPr>
          <w:highlight w:val="none"/>
        </w:rPr>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一、基本目录</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1.开标一览表（格式见附件1）</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2.投标分项报价表（格式见附件2）</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3.技术要求响应及偏离表（格式见附件3）</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4.商务要求响应及偏离表（格式见附件4）</w:t>
      </w:r>
      <w:r>
        <w:rPr>
          <w:highlight w:val="none"/>
        </w:rPr>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二、资格审查内容</w:t>
      </w:r>
      <w:r>
        <w:rPr>
          <w:highlight w:val="none"/>
        </w:rPr>
      </w:r>
      <w:r>
        <w:rPr>
          <w:highlight w:val="none"/>
        </w:rPr>
      </w:r>
    </w:p>
    <w:p>
      <w:pPr>
        <w:ind w:firstLine="560"/>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1.投标人符合《政府采购法》第二十二条规定条件（格式见附件5）</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2.特定资格要求的证明文件（如果本项目对投标人做出特定资格要求的，必须提供）（格式见附件6）</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3.投标函（格式见附件7）</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4.中小</w:t>
      </w:r>
      <w:r>
        <w:rPr>
          <w:rFonts w:ascii="仿宋" w:hAnsi="仿宋" w:eastAsia="仿宋" w:cs="仿宋"/>
          <w:sz w:val="28"/>
          <w:highlight w:val="none"/>
        </w:rPr>
        <w:t xml:space="preserve">微企业</w:t>
      </w:r>
      <w:r>
        <w:rPr>
          <w:rFonts w:ascii="仿宋" w:hAnsi="仿宋" w:eastAsia="仿宋" w:cs="仿宋"/>
          <w:sz w:val="28"/>
          <w:highlight w:val="none"/>
        </w:rPr>
        <w:t xml:space="preserve">声明函（格式见附件8）</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5.残疾人福利性单位声明函（格式见附件9）</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总备注：上述“资格审查内容”中1、3</w:t>
      </w:r>
      <w:r>
        <w:rPr>
          <w:rFonts w:hint="eastAsia" w:ascii="仿宋" w:hAnsi="仿宋" w:eastAsia="仿宋" w:cs="仿宋"/>
          <w:sz w:val="28"/>
          <w:highlight w:val="none"/>
        </w:rPr>
        <w:t xml:space="preserve">、5</w:t>
      </w:r>
      <w:r>
        <w:rPr>
          <w:rFonts w:ascii="仿宋" w:hAnsi="仿宋" w:eastAsia="仿宋" w:cs="仿宋"/>
          <w:sz w:val="28"/>
          <w:highlight w:val="none"/>
        </w:rPr>
        <w:t xml:space="preserve">条投标人必须在投标文件中提供相关材料，否则作无效投标处理；2、</w:t>
      </w:r>
      <w:r>
        <w:rPr>
          <w:rFonts w:hint="eastAsia" w:ascii="仿宋" w:hAnsi="仿宋" w:eastAsia="仿宋" w:cs="仿宋"/>
          <w:sz w:val="28"/>
          <w:highlight w:val="none"/>
        </w:rPr>
        <w:t xml:space="preserve">4</w:t>
      </w:r>
      <w:r>
        <w:rPr>
          <w:rFonts w:ascii="仿宋" w:hAnsi="仿宋" w:eastAsia="仿宋" w:cs="仿宋"/>
          <w:sz w:val="28"/>
          <w:highlight w:val="none"/>
        </w:rPr>
        <w:t xml:space="preserve">条如招标文件要求必须提供相关材料而未提供的，作无效投标处理。</w:t>
      </w:r>
      <w:r>
        <w:rPr>
          <w:highlight w:val="none"/>
        </w:rPr>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三、符合性审查内容</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1、报价要求：投标报价表中的设备名称、数量、单位必须与招标文件采购需求一致，报价不超过最高限价。</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2、商务要求：</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2.1采购需求中必须满足的实质性要求（即加注“★”的内容及商务要求，每条详细列出），否则投标无效；</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2.2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2.3商务要求不接受任何一项的负偏离或者不满足，允许正偏离；</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2.4《第六章投标文件构成》中“投标文件构成”没有缺漏；</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2.5投标函中注明的投标有效期符合招标文件要求；</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2.6本项目不接受联合体投标；</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2.7本项目不接受备选投标方案；</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2.8投标文件没有采购人不能接受的附加条件；</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2.9投标文件没有法律、法规和招标文件规定的其他无效情形；</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2.10不存在招标文件中第28.5条款的情形之一。</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3、技术要求：</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3.1技术要求中，“★”参数不允许负偏离，否则投标无效；</w:t>
      </w:r>
      <w:r>
        <w:rPr>
          <w:highlight w:val="none"/>
        </w:rPr>
      </w:r>
      <w:r>
        <w:rPr>
          <w:highlight w:val="none"/>
        </w:rPr>
      </w:r>
    </w:p>
    <w:p>
      <w:pPr>
        <w:ind w:firstLine="562"/>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3.2投标文件中的《技术要求响应及偏离表》按照招标文件要求点对点应答的。</w:t>
      </w:r>
      <w:r>
        <w:rPr>
          <w:highlight w:val="none"/>
        </w:rPr>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四、价格扣除证明文件</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1.中小</w:t>
      </w:r>
      <w:r>
        <w:rPr>
          <w:rFonts w:ascii="仿宋" w:hAnsi="仿宋" w:eastAsia="仿宋" w:cs="仿宋"/>
          <w:sz w:val="28"/>
          <w:highlight w:val="none"/>
        </w:rPr>
        <w:t xml:space="preserve">微企业</w:t>
      </w:r>
      <w:r>
        <w:rPr>
          <w:rFonts w:ascii="仿宋" w:hAnsi="仿宋" w:eastAsia="仿宋" w:cs="仿宋"/>
          <w:sz w:val="28"/>
          <w:highlight w:val="none"/>
        </w:rPr>
        <w:t xml:space="preserve">声明函（格式见附件8）</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2.残疾人福利性单位声明函（格式见附件9）</w:t>
      </w:r>
      <w:r>
        <w:rPr>
          <w:highlight w:val="none"/>
        </w:rPr>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 开标一览表</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开标一览表</w:t>
      </w:r>
      <w:r>
        <w:rPr>
          <w:highlight w:val="none"/>
        </w:rPr>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投标人全称（加盖CA电子签章）：</w:t>
      </w:r>
      <w:r>
        <w:rPr>
          <w:highlight w:val="none"/>
        </w:rPr>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项目名称：</w:t>
      </w:r>
      <w:r>
        <w:rPr>
          <w:highlight w:val="none"/>
        </w:rPr>
      </w:r>
      <w:r>
        <w:rPr>
          <w:highlight w:val="none"/>
        </w:rPr>
      </w:r>
    </w:p>
    <w:p>
      <w:pPr>
        <w:ind w:firstLine="482"/>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项目编号：</w:t>
      </w:r>
      <w:r>
        <w:rPr>
          <w:highlight w:val="none"/>
        </w:rPr>
      </w:r>
      <w:r>
        <w:rPr>
          <w:highlight w:val="none"/>
        </w:rP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bl>
      <w:tblPr>
        <w:tblStyle w:val="836"/>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76"/>
        <w:gridCol w:w="6574"/>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w:t>
            </w:r>
            <w:r>
              <w:rPr>
                <w:highlight w:val="none"/>
              </w:rPr>
            </w:r>
            <w:r>
              <w:rPr>
                <w:highlight w:val="none"/>
              </w:rP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小写：</w:t>
            </w:r>
            <w:r>
              <w:rPr>
                <w:rFonts w:ascii="Calibri" w:hAnsi="Calibri" w:eastAsia="仿宋" w:cs="Calibri"/>
                <w:sz w:val="28"/>
                <w:highlight w:val="none"/>
              </w:rPr>
              <w:t xml:space="preserve">     </w:t>
            </w:r>
            <w:r>
              <w:rPr>
                <w:rFonts w:ascii="仿宋" w:hAnsi="仿宋" w:eastAsia="仿宋" w:cs="仿宋"/>
                <w:sz w:val="28"/>
                <w:highlight w:val="none"/>
              </w:rPr>
              <w:t xml:space="preserve">                          （人民币：          元）</w:t>
            </w:r>
            <w:r>
              <w:rPr>
                <w:highlight w:val="none"/>
              </w:rPr>
            </w:r>
            <w:r>
              <w:rPr>
                <w:highlight w:val="none"/>
              </w:rP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产品品牌</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ind w:firstLine="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 投标分项报价表</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投标分项报价表</w:t>
      </w:r>
      <w:r>
        <w:rPr>
          <w:highlight w:val="none"/>
        </w:rPr>
      </w:r>
      <w:r>
        <w:rPr>
          <w:highlight w:val="none"/>
        </w:rPr>
      </w:r>
    </w:p>
    <w:tbl>
      <w:tblPr>
        <w:tblStyle w:val="836"/>
        <w:tblW w:w="949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96"/>
        <w:gridCol w:w="1332"/>
        <w:gridCol w:w="997"/>
        <w:gridCol w:w="1292"/>
        <w:gridCol w:w="1417"/>
        <w:gridCol w:w="790"/>
        <w:gridCol w:w="1053"/>
        <w:gridCol w:w="678"/>
        <w:gridCol w:w="729"/>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名称</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品牌</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规格</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型号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制造商名称</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产地</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交付期</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总价</w:t>
            </w:r>
            <w:r>
              <w:rPr>
                <w:highlight w:val="none"/>
              </w:rPr>
            </w:r>
            <w:r>
              <w:rPr>
                <w:highlight w:val="none"/>
              </w:rP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u w:val="singl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jc w:val="cente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8"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投标总报价（人民币：元）</w:t>
            </w:r>
            <w:r>
              <w:rPr>
                <w:highlight w:val="none"/>
              </w:rPr>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1.投标报价</w:t>
      </w:r>
      <w:r>
        <w:rPr>
          <w:rFonts w:ascii="仿宋" w:hAnsi="仿宋" w:eastAsia="仿宋" w:cs="仿宋"/>
          <w:sz w:val="28"/>
          <w:highlight w:val="none"/>
        </w:rPr>
        <w:t xml:space="preserve">采用总</w:t>
      </w:r>
      <w:r>
        <w:rPr>
          <w:rFonts w:ascii="仿宋" w:hAnsi="仿宋" w:eastAsia="仿宋" w:cs="仿宋"/>
          <w:sz w:val="28"/>
          <w:highlight w:val="none"/>
        </w:rPr>
        <w:t xml:space="preserve">承包方式，“投标总报价”应包括所投货物（包含与货物相关的服务）费用、安装调试费、</w:t>
      </w:r>
      <w:r>
        <w:rPr>
          <w:rFonts w:ascii="仿宋" w:hAnsi="仿宋" w:eastAsia="仿宋" w:cs="仿宋"/>
          <w:sz w:val="28"/>
          <w:highlight w:val="none"/>
        </w:rPr>
        <w:t xml:space="preserve">测试验</w:t>
      </w:r>
      <w:r>
        <w:rPr>
          <w:rFonts w:ascii="仿宋" w:hAnsi="仿宋" w:eastAsia="仿宋" w:cs="仿宋"/>
          <w:sz w:val="28"/>
          <w:highlight w:val="none"/>
        </w:rPr>
        <w:t xml:space="preserve">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2.“投标分项报价表”中“投标总报价”数额应当与“开标一览表”中“投标总报价”数额一致。</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3.投标人需认真填写本报价表，尤其注意规格型号的准确填写。</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4.项目经办人可以根据项目实际需要对表格结构进行调整。</w:t>
      </w:r>
      <w:r>
        <w:rPr>
          <w:highlight w:val="none"/>
        </w:rPr>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附件3 技术要求响应及偏离表</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技术要求响应及偏离表</w:t>
      </w:r>
      <w:r>
        <w:rPr>
          <w:highlight w:val="none"/>
        </w:rPr>
      </w:r>
      <w:r>
        <w:rPr>
          <w:highlight w:val="none"/>
        </w:rP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附件3-1  证明材料1，证明材料2，……</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1.投标人需对技术要求（未加</w:t>
      </w:r>
      <w:r>
        <w:rPr>
          <w:rFonts w:hint="eastAsia" w:ascii="仿宋" w:hAnsi="仿宋" w:eastAsia="仿宋" w:cs="仿宋"/>
          <w:sz w:val="28"/>
          <w:highlight w:val="none"/>
        </w:rPr>
        <w:t xml:space="preserve">标注</w:t>
      </w:r>
      <w:r>
        <w:rPr>
          <w:rFonts w:ascii="仿宋" w:hAnsi="仿宋" w:eastAsia="仿宋" w:cs="仿宋"/>
          <w:sz w:val="28"/>
          <w:highlight w:val="none"/>
        </w:rPr>
        <w:t xml:space="preserve">的非实质性要求）逐条做出明确响应。</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附件4 商务要求响应及偏离表</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商务要求响应及偏离表</w:t>
      </w:r>
      <w:r>
        <w:rPr>
          <w:highlight w:val="none"/>
        </w:rPr>
      </w:r>
      <w:r>
        <w:rPr>
          <w:highlight w:val="none"/>
        </w:rP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商务要求</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附件4-1  证明材料1，证明材料2，……</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1.投标人需对商务要求逐条做出明确响应。</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附件5 声明函</w:t>
      </w:r>
      <w:r>
        <w:rPr>
          <w:highlight w:val="none"/>
        </w:rPr>
      </w:r>
      <w:r>
        <w:rPr>
          <w:highlight w:val="none"/>
        </w:rPr>
      </w:r>
    </w:p>
    <w:p>
      <w:pPr>
        <w:jc w:val="cente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投标人符合《政府采购法》第二十二条规定条件的声明函</w:t>
      </w:r>
      <w:r>
        <w:rPr>
          <w:highlight w:val="none"/>
        </w:rPr>
      </w:r>
      <w:r>
        <w:rPr>
          <w:highlight w:val="none"/>
        </w:rPr>
      </w:r>
    </w:p>
    <w:p>
      <w:pPr>
        <w:jc w:val="both"/>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我单位参加</w:t>
      </w:r>
      <w:r>
        <w:rPr>
          <w:rFonts w:ascii="宋体" w:hAnsi="宋体" w:eastAsia="宋体" w:cs="宋体"/>
          <w:sz w:val="28"/>
          <w:highlight w:val="none"/>
          <w:u w:val="single"/>
        </w:rPr>
        <w:t xml:space="preserve">________________ _</w:t>
      </w:r>
      <w:r>
        <w:rPr>
          <w:rFonts w:ascii="宋体" w:hAnsi="宋体" w:eastAsia="宋体" w:cs="宋体"/>
          <w:sz w:val="28"/>
          <w:highlight w:val="none"/>
        </w:rPr>
        <w:t xml:space="preserve">（项目名称），</w:t>
      </w:r>
      <w:r>
        <w:rPr>
          <w:rFonts w:ascii="宋体" w:hAnsi="宋体" w:eastAsia="宋体" w:cs="宋体"/>
          <w:sz w:val="28"/>
          <w:highlight w:val="none"/>
          <w:u w:val="single"/>
        </w:rPr>
        <w:t xml:space="preserve">_______ __________</w:t>
      </w:r>
      <w:r>
        <w:rPr>
          <w:rFonts w:ascii="宋体" w:hAnsi="宋体" w:eastAsia="宋体" w:cs="宋体"/>
          <w:sz w:val="28"/>
          <w:highlight w:val="none"/>
        </w:rPr>
        <w:t xml:space="preserve">（项目编号）投标活动。针对《中华人民共和国政府采购法》第二十二条规定做出如下声明：</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1.我单位具有独立承担民事责任的能力；</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2.我单位具有良好的商业信誉和健全的财务会计制度；</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3.我单位具有履行合同所必需的设备和专业技术能力；</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4.我单位有依法缴纳税收和社会保障资金的良好记录；</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rPr>
          <w:highlight w:val="none"/>
        </w:rPr>
      </w:r>
    </w:p>
    <w:p>
      <w:pPr>
        <w:ind w:firstLine="56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6.我单位满足法律、行政法规规定的其他条件。</w:t>
      </w:r>
      <w:r>
        <w:rPr>
          <w:highlight w:val="none"/>
        </w:rPr>
      </w:r>
      <w:r>
        <w:rPr>
          <w:highlight w:val="none"/>
        </w:rPr>
      </w:r>
    </w:p>
    <w:p>
      <w:pPr>
        <w:ind w:firstLine="482"/>
        <w:jc w:val="both"/>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jc w:val="cente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承诺人名称（公章）：</w:t>
      </w:r>
      <w:r>
        <w:rPr>
          <w:highlight w:val="none"/>
        </w:rPr>
      </w:r>
      <w:r>
        <w:rPr>
          <w:highlight w:val="none"/>
        </w:rPr>
      </w:r>
    </w:p>
    <w:p>
      <w:pPr>
        <w:jc w:val="right"/>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r>
        <w:rPr>
          <w:highlight w:val="none"/>
        </w:rPr>
      </w:r>
    </w:p>
    <w:p>
      <w:pPr>
        <w:jc w:val="right"/>
        <w:rPr>
          <w:rFonts w:ascii="宋体" w:hAnsi="宋体" w:eastAsia="宋体" w:cs="宋体"/>
          <w:sz w:val="28"/>
          <w:highlight w:val="none"/>
        </w:rPr>
      </w:pPr>
      <w:r>
        <w:rPr>
          <w:rFonts w:ascii="宋体" w:hAnsi="宋体" w:eastAsia="宋体" w:cs="宋体"/>
          <w:sz w:val="28"/>
          <w:highlight w:val="none"/>
        </w:rPr>
        <w:t xml:space="preserve">                                 日期：</w:t>
      </w:r>
      <w:r>
        <w:rPr>
          <w:rFonts w:ascii="宋体" w:hAnsi="宋体" w:eastAsia="宋体" w:cs="宋体"/>
          <w:sz w:val="28"/>
          <w:highlight w:val="none"/>
          <w:u w:val="single"/>
        </w:rPr>
        <w:t xml:space="preserve">______</w:t>
      </w:r>
      <w:r>
        <w:rPr>
          <w:rFonts w:ascii="宋体" w:hAnsi="宋体" w:eastAsia="宋体" w:cs="宋体"/>
          <w:sz w:val="28"/>
          <w:highlight w:val="none"/>
        </w:rPr>
        <w:t xml:space="preserve">年</w:t>
      </w:r>
      <w:r>
        <w:rPr>
          <w:rFonts w:ascii="宋体" w:hAnsi="宋体" w:eastAsia="宋体" w:cs="宋体"/>
          <w:sz w:val="28"/>
          <w:highlight w:val="none"/>
          <w:u w:val="single"/>
        </w:rPr>
        <w:t xml:space="preserve">___</w:t>
      </w:r>
      <w:r>
        <w:rPr>
          <w:rFonts w:ascii="宋体" w:hAnsi="宋体" w:eastAsia="宋体" w:cs="宋体"/>
          <w:sz w:val="28"/>
          <w:highlight w:val="none"/>
        </w:rPr>
        <w:t xml:space="preserve">月</w:t>
      </w:r>
      <w:r>
        <w:rPr>
          <w:rFonts w:ascii="宋体" w:hAnsi="宋体" w:eastAsia="宋体" w:cs="宋体"/>
          <w:sz w:val="28"/>
          <w:highlight w:val="none"/>
          <w:u w:val="single"/>
        </w:rPr>
        <w:t xml:space="preserve">___</w:t>
      </w:r>
      <w:r>
        <w:rPr>
          <w:rFonts w:ascii="宋体" w:hAnsi="宋体" w:eastAsia="宋体" w:cs="宋体"/>
          <w:sz w:val="28"/>
          <w:highlight w:val="none"/>
        </w:rPr>
        <w:t xml:space="preserve">日</w:t>
      </w:r>
      <w:bookmarkStart w:id="40" w:name="_Toc178500680"/>
      <w:r>
        <w:rPr>
          <w:highlight w:val="none"/>
        </w:rPr>
      </w:r>
      <w:r>
        <w:rPr>
          <w:highlight w:val="none"/>
        </w:rPr>
      </w:r>
    </w:p>
    <w:p>
      <w:pPr>
        <w:rPr>
          <w:rFonts w:ascii="宋体" w:hAnsi="宋体" w:eastAsia="宋体" w:cs="宋体"/>
          <w:sz w:val="28"/>
          <w:highlight w:val="none"/>
        </w:rPr>
      </w:pPr>
      <w:r>
        <w:rPr>
          <w:rFonts w:ascii="宋体" w:hAnsi="宋体" w:eastAsia="宋体" w:cs="宋体"/>
          <w:sz w:val="28"/>
          <w:highlight w:val="none"/>
        </w:rPr>
        <w:br w:type="page" w:clear="all"/>
      </w:r>
      <w:r>
        <w:rPr>
          <w:highlight w:val="none"/>
        </w:rPr>
      </w:r>
      <w:r>
        <w:rPr>
          <w:highlight w:val="none"/>
        </w:rPr>
      </w:r>
    </w:p>
    <w:p>
      <w:pPr>
        <w:rPr>
          <w:rFonts w:ascii="宋体" w:hAnsi="宋体" w:cs="宋体"/>
          <w:i/>
          <w:sz w:val="32"/>
          <w:szCs w:val="32"/>
          <w:highlight w:val="none"/>
          <w:u w:val="single"/>
        </w:rPr>
      </w:pPr>
      <w:r>
        <w:rPr>
          <w:rFonts w:hint="eastAsia" w:ascii="宋体" w:hAnsi="宋体" w:cs="宋体"/>
          <w:i/>
          <w:sz w:val="32"/>
          <w:szCs w:val="32"/>
          <w:highlight w:val="none"/>
          <w:u w:val="single"/>
        </w:rPr>
        <w:t xml:space="preserve">一、法人或者其他组织的营业执照等证明文件，自然人的身份证明</w:t>
      </w:r>
      <w:bookmarkEnd w:id="40"/>
      <w:r>
        <w:rPr>
          <w:highlight w:val="none"/>
        </w:rPr>
      </w:r>
      <w:r>
        <w:rPr>
          <w:highlight w:val="none"/>
        </w:rPr>
      </w:r>
    </w:p>
    <w:p>
      <w:pPr>
        <w:spacing w:line="276" w:lineRule="auto"/>
        <w:rPr>
          <w:rFonts w:ascii="宋体" w:hAnsi="宋体" w:cs="宋体"/>
          <w:sz w:val="24"/>
          <w:szCs w:val="21"/>
          <w:highlight w:val="none"/>
        </w:rPr>
      </w:pPr>
      <w:r>
        <w:rPr>
          <w:rFonts w:ascii="宋体" w:hAnsi="宋体" w:cs="宋体"/>
          <w:sz w:val="24"/>
          <w:szCs w:val="21"/>
          <w:highlight w:val="none"/>
        </w:rPr>
      </w:r>
      <w:r>
        <w:rPr>
          <w:highlight w:val="none"/>
        </w:rPr>
      </w:r>
      <w:r>
        <w:rPr>
          <w:highlight w:val="none"/>
        </w:rPr>
      </w:r>
    </w:p>
    <w:p>
      <w:pPr>
        <w:ind w:firstLine="480"/>
        <w:jc w:val="center"/>
        <w:spacing w:line="479"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法人授权书</w:t>
      </w:r>
      <w:r>
        <w:rPr>
          <w:highlight w:val="none"/>
        </w:rPr>
      </w:r>
      <w:r>
        <w:rPr>
          <w:highlight w:val="none"/>
        </w:rPr>
      </w:r>
    </w:p>
    <w:p>
      <w:pPr>
        <w:ind w:firstLine="480"/>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本授权书声明：____________（</w:t>
      </w:r>
      <w:r>
        <w:rPr>
          <w:rFonts w:hint="eastAsia" w:ascii="仿宋" w:hAnsi="仿宋" w:eastAsia="仿宋" w:cs="仿宋"/>
          <w:sz w:val="28"/>
          <w:highlight w:val="none"/>
        </w:rPr>
        <w:t xml:space="preserve">法定代表人的姓名</w:t>
      </w:r>
      <w:r>
        <w:rPr>
          <w:rFonts w:ascii="仿宋" w:hAnsi="仿宋" w:eastAsia="仿宋" w:cs="仿宋"/>
          <w:sz w:val="28"/>
          <w:highlight w:val="none"/>
        </w:rPr>
        <w:t xml:space="preserve">）授权________________（</w:t>
      </w: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的姓名）为我方就</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号项目</w:t>
      </w:r>
      <w:r>
        <w:rPr>
          <w:rFonts w:ascii="仿宋" w:hAnsi="仿宋" w:eastAsia="仿宋" w:cs="仿宋"/>
          <w:sz w:val="28"/>
          <w:highlight w:val="none"/>
        </w:rPr>
        <w:t xml:space="preserve">采购活动的合法代理人，以本单位名义全权处理一切与该项目采购有关的事务。</w:t>
      </w:r>
      <w:r>
        <w:rPr>
          <w:highlight w:val="none"/>
        </w:rPr>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本授权书于______年____月____日起生效，特此声明。</w:t>
      </w:r>
      <w:r>
        <w:rPr>
          <w:highlight w:val="none"/>
        </w:rPr>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授权代表姓名：</w:t>
      </w:r>
      <w:r>
        <w:rPr>
          <w:highlight w:val="none"/>
        </w:rPr>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身份证号码：</w:t>
      </w:r>
      <w:r>
        <w:rPr>
          <w:highlight w:val="none"/>
        </w:rPr>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联系电话：（手机）</w:t>
      </w:r>
      <w:r>
        <w:rPr>
          <w:highlight w:val="none"/>
        </w:rPr>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w:t>
      </w:r>
      <w:r>
        <w:rPr>
          <w:rFonts w:ascii="仿宋" w:hAnsi="仿宋" w:eastAsia="仿宋" w:cs="仿宋"/>
          <w:sz w:val="28"/>
          <w:highlight w:val="none"/>
        </w:rPr>
        <w:t xml:space="preserve">单位名称：</w:t>
      </w:r>
      <w:r>
        <w:rPr>
          <w:rFonts w:ascii="仿宋" w:hAnsi="仿宋" w:eastAsia="仿宋" w:cs="仿宋"/>
          <w:sz w:val="28"/>
          <w:highlight w:val="none"/>
          <w:u w:val="single"/>
        </w:rPr>
        <w:t xml:space="preserve">（加盖CA电子公章）</w:t>
      </w:r>
      <w:r>
        <w:rPr>
          <w:highlight w:val="none"/>
        </w:rPr>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单位地址：</w:t>
      </w:r>
      <w:r>
        <w:rPr>
          <w:highlight w:val="none"/>
        </w:rPr>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日期：</w:t>
      </w:r>
      <w:r>
        <w:rPr>
          <w:highlight w:val="none"/>
        </w:rPr>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说明:</w:t>
      </w:r>
      <w:r>
        <w:rPr>
          <w:highlight w:val="none"/>
        </w:rPr>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(1)本授权委托书之后需附上法定代表人（如有）、授权代表身份证复印件（正反面）。</w:t>
      </w:r>
      <w:r>
        <w:rPr>
          <w:highlight w:val="none"/>
        </w:rPr>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(2)如果是法定代表人直接参与投标的可以不提供法人授权书;但必须在营业执照之后附上法定代表人身份证复印;</w:t>
      </w:r>
      <w:r>
        <w:rPr>
          <w:highlight w:val="none"/>
        </w:rPr>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(3)未按上述规定随附身份证复印件的，投标无效。</w:t>
      </w:r>
      <w:r>
        <w:rPr>
          <w:highlight w:val="none"/>
        </w:rPr>
      </w:r>
      <w:r>
        <w:rPr>
          <w:highlight w:val="none"/>
        </w:rPr>
      </w:r>
    </w:p>
    <w:p>
      <w:pPr>
        <w:spacing w:line="276" w:lineRule="auto"/>
        <w:rPr>
          <w:rFonts w:ascii="宋体" w:hAnsi="宋体" w:cs="宋体"/>
          <w:sz w:val="24"/>
          <w:szCs w:val="21"/>
          <w:highlight w:val="none"/>
        </w:rPr>
      </w:pPr>
      <w:r>
        <w:rPr>
          <w:rFonts w:ascii="宋体" w:hAnsi="宋体" w:cs="宋体"/>
          <w:sz w:val="24"/>
          <w:szCs w:val="21"/>
          <w:highlight w:val="none"/>
        </w:rPr>
      </w:r>
      <w:r>
        <w:rPr>
          <w:highlight w:val="none"/>
        </w:rPr>
      </w:r>
      <w:r>
        <w:rPr>
          <w:highlight w:val="none"/>
        </w:rPr>
      </w:r>
    </w:p>
    <w:p>
      <w:pPr>
        <w:rPr>
          <w:rFonts w:ascii="宋体" w:hAnsi="宋体" w:cs="宋体"/>
          <w:i/>
          <w:sz w:val="32"/>
          <w:szCs w:val="32"/>
          <w:highlight w:val="none"/>
          <w:u w:val="single"/>
        </w:rPr>
      </w:pPr>
      <w:r>
        <w:rPr>
          <w:highlight w:val="none"/>
        </w:rPr>
      </w:r>
      <w:bookmarkStart w:id="41" w:name="_Toc178500681"/>
      <w:r>
        <w:rPr>
          <w:rFonts w:hint="eastAsia" w:ascii="宋体" w:hAnsi="宋体" w:cs="宋体"/>
          <w:i/>
          <w:sz w:val="32"/>
          <w:szCs w:val="32"/>
          <w:highlight w:val="none"/>
          <w:u w:val="single"/>
        </w:rPr>
        <w:t xml:space="preserve">二、上一年度的财务状况报告</w:t>
      </w:r>
      <w:bookmarkEnd w:id="41"/>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提供2</w:t>
      </w:r>
      <w:r>
        <w:rPr>
          <w:rFonts w:ascii="宋体" w:hAnsi="宋体" w:cs="宋体"/>
          <w:bCs/>
          <w:sz w:val="24"/>
          <w:szCs w:val="21"/>
          <w:highlight w:val="none"/>
        </w:rPr>
        <w:t xml:space="preserve">024</w:t>
      </w:r>
      <w:r>
        <w:rPr>
          <w:rFonts w:hint="eastAsia" w:ascii="宋体" w:hAnsi="宋体" w:cs="宋体"/>
          <w:bCs/>
          <w:sz w:val="24"/>
          <w:szCs w:val="21"/>
          <w:highlight w:val="none"/>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rPr>
          <w:highlight w:val="none"/>
        </w:rPr>
      </w:r>
      <w:r>
        <w:rPr>
          <w:highlight w:val="none"/>
        </w:rPr>
      </w:r>
    </w:p>
    <w:p>
      <w:pPr>
        <w:spacing w:line="276" w:lineRule="auto"/>
        <w:rPr>
          <w:rFonts w:ascii="宋体" w:hAnsi="宋体" w:cs="宋体"/>
          <w:i/>
          <w:sz w:val="32"/>
          <w:szCs w:val="32"/>
          <w:highlight w:val="none"/>
          <w:u w:val="single"/>
        </w:rPr>
      </w:pPr>
      <w:r>
        <w:rPr>
          <w:rFonts w:ascii="宋体" w:hAnsi="宋体" w:cs="宋体"/>
          <w:i/>
          <w:sz w:val="32"/>
          <w:szCs w:val="32"/>
          <w:highlight w:val="none"/>
          <w:u w:val="single"/>
        </w:rPr>
      </w:r>
      <w:r>
        <w:rPr>
          <w:highlight w:val="none"/>
        </w:rPr>
      </w:r>
      <w:r>
        <w:rPr>
          <w:highlight w:val="none"/>
        </w:rPr>
      </w:r>
    </w:p>
    <w:p>
      <w:pPr>
        <w:rPr>
          <w:rFonts w:ascii="宋体" w:hAnsi="宋体" w:cs="宋体"/>
          <w:i/>
          <w:sz w:val="32"/>
          <w:szCs w:val="32"/>
          <w:highlight w:val="none"/>
          <w:u w:val="single"/>
        </w:rPr>
      </w:pPr>
      <w:r>
        <w:rPr>
          <w:highlight w:val="none"/>
        </w:rPr>
      </w:r>
      <w:bookmarkStart w:id="42" w:name="_Toc178500682"/>
      <w:r>
        <w:rPr>
          <w:rFonts w:hint="eastAsia" w:ascii="宋体" w:hAnsi="宋体" w:cs="宋体"/>
          <w:i/>
          <w:sz w:val="32"/>
          <w:szCs w:val="32"/>
          <w:highlight w:val="none"/>
          <w:u w:val="single"/>
        </w:rPr>
        <w:t xml:space="preserve">三、依法缴纳税收和社会保障资金的相关材料</w:t>
      </w:r>
      <w:bookmarkEnd w:id="42"/>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提供提交投标文件截止时间前六个月内至少一个月依法缴纳税收及缴纳社会保障资金的证明材料。投标人依法享受缓缴、免缴税收、社会保障资金的提供证明材料。</w:t>
      </w:r>
      <w:r>
        <w:rPr>
          <w:highlight w:val="none"/>
        </w:rPr>
      </w:r>
      <w:r>
        <w:rPr>
          <w:highlight w:val="none"/>
        </w:rPr>
      </w:r>
    </w:p>
    <w:p>
      <w:pPr>
        <w:spacing w:line="276" w:lineRule="auto"/>
        <w:rPr>
          <w:rFonts w:ascii="宋体" w:hAnsi="宋体" w:cs="宋体"/>
          <w:i/>
          <w:sz w:val="32"/>
          <w:szCs w:val="32"/>
          <w:highlight w:val="none"/>
          <w:u w:val="single"/>
        </w:rPr>
      </w:pPr>
      <w:r>
        <w:rPr>
          <w:rFonts w:ascii="宋体" w:hAnsi="宋体" w:cs="宋体"/>
          <w:i/>
          <w:sz w:val="32"/>
          <w:szCs w:val="32"/>
          <w:highlight w:val="none"/>
          <w:u w:val="single"/>
        </w:rPr>
      </w:r>
      <w:r>
        <w:rPr>
          <w:highlight w:val="none"/>
        </w:rPr>
      </w:r>
      <w:r>
        <w:rPr>
          <w:highlight w:val="none"/>
        </w:rPr>
      </w:r>
    </w:p>
    <w:p>
      <w:pPr>
        <w:rPr>
          <w:rFonts w:ascii="宋体" w:hAnsi="宋体" w:cs="宋体"/>
          <w:i/>
          <w:sz w:val="32"/>
          <w:szCs w:val="32"/>
          <w:highlight w:val="none"/>
          <w:u w:val="single"/>
        </w:rPr>
      </w:pPr>
      <w:r>
        <w:rPr>
          <w:highlight w:val="none"/>
        </w:rPr>
      </w:r>
      <w:bookmarkStart w:id="43" w:name="_Toc178500683"/>
      <w:r>
        <w:rPr>
          <w:rFonts w:hint="eastAsia" w:ascii="宋体" w:hAnsi="宋体" w:cs="宋体"/>
          <w:i/>
          <w:sz w:val="32"/>
          <w:szCs w:val="32"/>
          <w:highlight w:val="none"/>
          <w:u w:val="single"/>
        </w:rPr>
        <w:t xml:space="preserve">四、具备履行合同所必需的设备和专业技术能力的书面声明</w:t>
      </w:r>
      <w:bookmarkEnd w:id="43"/>
      <w:r>
        <w:rPr>
          <w:highlight w:val="none"/>
        </w:rPr>
      </w:r>
      <w:r>
        <w:rPr>
          <w:highlight w:val="none"/>
        </w:rPr>
      </w:r>
    </w:p>
    <w:p>
      <w:pPr>
        <w:jc w:val="center"/>
        <w:spacing w:line="276" w:lineRule="auto"/>
        <w:rPr>
          <w:rFonts w:ascii="宋体" w:hAnsi="宋体" w:cs="宋体"/>
          <w:bCs/>
          <w:sz w:val="32"/>
          <w:szCs w:val="32"/>
          <w:highlight w:val="none"/>
        </w:rPr>
      </w:pPr>
      <w:r>
        <w:rPr>
          <w:rFonts w:hint="eastAsia" w:ascii="宋体" w:hAnsi="宋体" w:cs="宋体"/>
          <w:bCs/>
          <w:sz w:val="32"/>
          <w:szCs w:val="32"/>
          <w:highlight w:val="none"/>
        </w:rPr>
        <w:t xml:space="preserve">声明</w:t>
      </w:r>
      <w:r>
        <w:rPr>
          <w:highlight w:val="none"/>
        </w:rPr>
      </w:r>
      <w:r>
        <w:rPr>
          <w:highlight w:val="none"/>
        </w:rPr>
      </w:r>
    </w:p>
    <w:p>
      <w:pPr>
        <w:ind w:firstLine="480"/>
        <w:spacing w:line="276" w:lineRule="auto"/>
        <w:rPr>
          <w:rFonts w:ascii="宋体" w:hAnsi="宋体" w:cs="宋体"/>
          <w:bCs/>
          <w:sz w:val="2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r>
        <w:rPr>
          <w:highlight w:val="none"/>
        </w:rPr>
      </w:r>
    </w:p>
    <w:p>
      <w:pPr>
        <w:ind w:left="400"/>
        <w:spacing w:line="276" w:lineRule="auto"/>
        <w:rPr>
          <w:rFonts w:ascii="宋体" w:hAnsi="宋体" w:cs="宋体"/>
          <w:bCs/>
          <w:sz w:val="24"/>
          <w:highlight w:val="none"/>
        </w:rPr>
      </w:pPr>
      <w:r>
        <w:rPr>
          <w:rFonts w:hint="eastAsia" w:ascii="宋体" w:hAnsi="宋体" w:cs="宋体"/>
          <w:bCs/>
          <w:sz w:val="24"/>
          <w:highlight w:val="none"/>
        </w:rPr>
        <w:t xml:space="preserve">我公司郑重声明：具有履行编号为</w:t>
      </w:r>
      <w:r>
        <w:rPr>
          <w:rFonts w:hint="eastAsia" w:ascii="仿宋" w:hAnsi="仿宋" w:eastAsia="仿宋"/>
          <w:sz w:val="28"/>
          <w:szCs w:val="28"/>
          <w:highlight w:val="none"/>
        </w:rPr>
        <w:t xml:space="preserve">JSZC-320***-SHGK-*****-****</w:t>
      </w:r>
      <w:r>
        <w:rPr>
          <w:rFonts w:hint="eastAsia" w:ascii="宋体" w:hAnsi="宋体" w:cs="宋体"/>
          <w:bCs/>
          <w:sz w:val="24"/>
          <w:highlight w:val="none"/>
        </w:rPr>
        <w:t xml:space="preserve">项下采购项目合同的设备和专业技术能力。</w:t>
      </w:r>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r>
        <w:rPr>
          <w:highlight w:val="none"/>
        </w:rPr>
      </w:r>
    </w:p>
    <w:p>
      <w:pPr>
        <w:ind w:firstLine="480"/>
        <w:spacing w:line="276" w:lineRule="auto"/>
        <w:rPr>
          <w:rFonts w:ascii="宋体" w:hAnsi="宋体" w:cs="宋体"/>
          <w:bCs/>
          <w:sz w:val="24"/>
          <w:szCs w:val="21"/>
          <w:highlight w:val="none"/>
        </w:rPr>
      </w:pPr>
      <w:r>
        <w:rPr>
          <w:rFonts w:ascii="宋体" w:hAnsi="宋体" w:cs="宋体"/>
          <w:bCs/>
          <w:sz w:val="24"/>
          <w:szCs w:val="21"/>
          <w:highlight w:val="none"/>
        </w:rPr>
      </w:r>
      <w:r>
        <w:rPr>
          <w:highlight w:val="none"/>
        </w:rPr>
      </w:r>
      <w:r>
        <w:rPr>
          <w:highlight w:val="none"/>
        </w:rPr>
      </w:r>
    </w:p>
    <w:p>
      <w:pPr>
        <w:ind w:firstLine="480"/>
        <w:spacing w:line="276" w:lineRule="auto"/>
        <w:rPr>
          <w:rFonts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投标日期：2025年XX月XX日</w:t>
      </w:r>
      <w:r>
        <w:rPr>
          <w:highlight w:val="none"/>
        </w:rPr>
      </w:r>
      <w:r>
        <w:rPr>
          <w:highlight w:val="none"/>
        </w:rPr>
      </w:r>
    </w:p>
    <w:p>
      <w:pPr>
        <w:spacing w:line="276" w:lineRule="auto"/>
        <w:rPr>
          <w:rFonts w:ascii="宋体" w:hAnsi="宋体" w:cs="宋体"/>
          <w:sz w:val="32"/>
          <w:szCs w:val="32"/>
          <w:highlight w:val="none"/>
        </w:rPr>
      </w:pPr>
      <w:r>
        <w:rPr>
          <w:rFonts w:ascii="宋体" w:hAnsi="宋体" w:cs="宋体"/>
          <w:sz w:val="32"/>
          <w:szCs w:val="32"/>
          <w:highlight w:val="none"/>
        </w:rPr>
      </w:r>
      <w:r>
        <w:rPr>
          <w:highlight w:val="none"/>
        </w:rPr>
      </w:r>
      <w:r>
        <w:rPr>
          <w:highlight w:val="none"/>
        </w:rPr>
      </w:r>
    </w:p>
    <w:p>
      <w:pPr>
        <w:rPr>
          <w:rFonts w:ascii="宋体" w:hAnsi="宋体" w:cs="宋体"/>
          <w:i/>
          <w:sz w:val="32"/>
          <w:szCs w:val="32"/>
          <w:highlight w:val="none"/>
          <w:u w:val="single"/>
        </w:rPr>
      </w:pPr>
      <w:r>
        <w:rPr>
          <w:highlight w:val="none"/>
        </w:rPr>
      </w:r>
      <w:bookmarkStart w:id="44" w:name="_Toc178500684"/>
      <w:r>
        <w:rPr>
          <w:rFonts w:hint="eastAsia" w:ascii="宋体" w:hAnsi="宋体" w:cs="宋体"/>
          <w:i/>
          <w:sz w:val="32"/>
          <w:szCs w:val="32"/>
          <w:highlight w:val="none"/>
          <w:u w:val="single"/>
        </w:rPr>
        <w:t xml:space="preserve">五、参加政府采购活动前 3 年内在经营活动中没有重大违法记录的书面声明</w:t>
      </w:r>
      <w:bookmarkEnd w:id="44"/>
      <w:r>
        <w:rPr>
          <w:highlight w:val="none"/>
        </w:rPr>
      </w:r>
      <w:r>
        <w:rPr>
          <w:highlight w:val="none"/>
        </w:rPr>
      </w:r>
    </w:p>
    <w:p>
      <w:pPr>
        <w:jc w:val="center"/>
        <w:spacing w:line="276" w:lineRule="auto"/>
        <w:rPr>
          <w:rFonts w:ascii="宋体" w:hAnsi="宋体" w:cs="宋体"/>
          <w:bCs/>
          <w:sz w:val="24"/>
          <w:highlight w:val="none"/>
        </w:rPr>
      </w:pPr>
      <w:r>
        <w:rPr>
          <w:rFonts w:hint="eastAsia" w:ascii="宋体" w:hAnsi="宋体" w:cs="宋体"/>
          <w:bCs/>
          <w:sz w:val="32"/>
          <w:szCs w:val="32"/>
          <w:highlight w:val="none"/>
        </w:rPr>
        <w:t xml:space="preserve">声明</w:t>
      </w:r>
      <w:r>
        <w:rPr>
          <w:highlight w:val="none"/>
        </w:rPr>
      </w:r>
      <w:r>
        <w:rPr>
          <w:highlight w:val="none"/>
        </w:rPr>
      </w:r>
    </w:p>
    <w:p>
      <w:pPr>
        <w:ind w:firstLine="480"/>
        <w:spacing w:line="276" w:lineRule="auto"/>
        <w:rPr>
          <w:rFonts w:ascii="宋体" w:hAnsi="宋体" w:cs="宋体"/>
          <w:b/>
          <w:bCs/>
          <w:sz w:val="44"/>
          <w:szCs w:val="4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r>
        <w:rPr>
          <w:highlight w:val="none"/>
        </w:rPr>
      </w:r>
    </w:p>
    <w:p>
      <w:pPr>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r>
        <w:rPr>
          <w:highlight w:val="none"/>
        </w:rPr>
      </w:r>
    </w:p>
    <w:p>
      <w:pPr>
        <w:ind w:firstLine="480"/>
        <w:spacing w:line="276" w:lineRule="auto"/>
        <w:rPr>
          <w:rFonts w:ascii="宋体" w:hAnsi="宋体" w:cs="宋体"/>
          <w:bCs/>
          <w:sz w:val="24"/>
          <w:szCs w:val="21"/>
          <w:highlight w:val="none"/>
        </w:rPr>
      </w:pPr>
      <w:r>
        <w:rPr>
          <w:rFonts w:ascii="宋体" w:hAnsi="宋体" w:cs="宋体"/>
          <w:bCs/>
          <w:sz w:val="24"/>
          <w:szCs w:val="21"/>
          <w:highlight w:val="none"/>
        </w:rPr>
      </w:r>
      <w:r>
        <w:rPr>
          <w:highlight w:val="none"/>
        </w:rPr>
      </w:r>
      <w:r>
        <w:rPr>
          <w:highlight w:val="none"/>
        </w:rPr>
      </w:r>
    </w:p>
    <w:p>
      <w:pPr>
        <w:ind w:firstLine="480"/>
        <w:spacing w:line="276" w:lineRule="auto"/>
        <w:rPr>
          <w:rFonts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r>
        <w:rPr>
          <w:highlight w:val="none"/>
        </w:rPr>
      </w:r>
    </w:p>
    <w:p>
      <w:pPr>
        <w:ind w:firstLine="480"/>
        <w:spacing w:line="276" w:lineRule="auto"/>
        <w:tabs>
          <w:tab w:val="center" w:pos="4775" w:leader="none"/>
        </w:tabs>
        <w:rPr>
          <w:rFonts w:ascii="宋体" w:hAnsi="宋体" w:cs="宋体"/>
          <w:bCs/>
          <w:sz w:val="24"/>
          <w:szCs w:val="21"/>
          <w:highlight w:val="none"/>
        </w:rPr>
      </w:pPr>
      <w:r>
        <w:rPr>
          <w:rFonts w:hint="eastAsia" w:ascii="宋体" w:hAnsi="宋体" w:cs="宋体"/>
          <w:bCs/>
          <w:sz w:val="24"/>
          <w:szCs w:val="21"/>
          <w:highlight w:val="none"/>
        </w:rPr>
        <w:t xml:space="preserve">投标日期：2025年XX月XX日</w:t>
      </w:r>
      <w:bookmarkStart w:id="45" w:name="_Toc178500685"/>
      <w:r>
        <w:rPr>
          <w:rFonts w:ascii="宋体" w:hAnsi="宋体" w:cs="宋体"/>
          <w:bCs/>
          <w:sz w:val="24"/>
          <w:szCs w:val="21"/>
          <w:highlight w:val="none"/>
        </w:rPr>
        <w:tab/>
      </w:r>
      <w:r>
        <w:rPr>
          <w:highlight w:val="none"/>
        </w:rPr>
      </w:r>
      <w:r>
        <w:rPr>
          <w:highlight w:val="none"/>
        </w:rPr>
      </w:r>
    </w:p>
    <w:p>
      <w:pPr>
        <w:rPr>
          <w:rFonts w:ascii="宋体" w:hAnsi="宋体" w:cs="宋体"/>
          <w:bCs/>
          <w:sz w:val="24"/>
          <w:szCs w:val="21"/>
          <w:highlight w:val="none"/>
        </w:rPr>
      </w:pPr>
      <w:r>
        <w:rPr>
          <w:rFonts w:ascii="宋体" w:hAnsi="宋体" w:cs="宋体"/>
          <w:bCs/>
          <w:sz w:val="24"/>
          <w:szCs w:val="21"/>
          <w:highlight w:val="none"/>
        </w:rPr>
        <w:br w:type="page" w:clear="all"/>
      </w:r>
      <w:r>
        <w:rPr>
          <w:highlight w:val="none"/>
        </w:rPr>
      </w:r>
      <w:r>
        <w:rPr>
          <w:highlight w:val="none"/>
        </w:rPr>
      </w:r>
    </w:p>
    <w:p>
      <w:pPr>
        <w:pStyle w:val="801"/>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附件6</w:t>
      </w:r>
      <w:r>
        <w:rPr>
          <w:rFonts w:hint="eastAsia" w:ascii="仿宋" w:hAnsi="仿宋" w:eastAsia="仿宋" w:cs="仿宋"/>
          <w:b/>
          <w:sz w:val="28"/>
          <w:highlight w:val="none"/>
        </w:rPr>
        <w:t xml:space="preserve">特定资格要求的证明文件</w:t>
      </w:r>
      <w:bookmarkEnd w:id="45"/>
      <w:r>
        <w:rPr>
          <w:highlight w:val="none"/>
        </w:rPr>
      </w:r>
      <w:r>
        <w:rPr>
          <w:highlight w:val="none"/>
        </w:rPr>
      </w:r>
    </w:p>
    <w:p>
      <w:pPr>
        <w:jc w:val="both"/>
        <w:spacing w:line="479" w:lineRule="atLeast"/>
        <w:rPr>
          <w:rFonts w:ascii="宋体" w:hAnsi="宋体" w:cs="宋体"/>
          <w:i/>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highlight w:val="none"/>
          <w:u w:val="single"/>
        </w:rPr>
        <w:t xml:space="preserve">1.投标产品如果属于医疗设备注册/备案范畴的；投标人须根据投标产品的类别，提供有效期内的《医疗器械经营许可证》或者《医疗器械经营备案凭证》（复印件）；</w:t>
      </w:r>
      <w:r>
        <w:rPr>
          <w:highlight w:val="none"/>
        </w:rPr>
      </w:r>
      <w:r>
        <w:rPr>
          <w:highlight w:val="none"/>
        </w:rPr>
      </w:r>
    </w:p>
    <w:p>
      <w:pPr>
        <w:jc w:val="both"/>
        <w:spacing w:line="479" w:lineRule="atLeast"/>
        <w:rPr>
          <w:rFonts w:ascii="宋体" w:hAnsi="宋体" w:cs="宋体"/>
          <w:i/>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highlight w:val="none"/>
          <w:u w:val="single"/>
        </w:rPr>
        <w:t xml:space="preserve">2．投标产品如果属于医疗设备注册/备案范畴的；投标人须提供投标产品的有效期内的《医疗器械注册证》或者备案凭证（复印件）；</w:t>
      </w:r>
      <w:r>
        <w:rPr>
          <w:highlight w:val="none"/>
        </w:rPr>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rPr>
          <w:highlight w:val="none"/>
        </w:rPr>
      </w:r>
    </w:p>
    <w:p>
      <w:pPr>
        <w:pStyle w:val="801"/>
        <w:jc w:val="center"/>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附件7投标函</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投标函</w:t>
      </w:r>
      <w:r>
        <w:rPr>
          <w:highlight w:val="none"/>
        </w:rPr>
      </w:r>
      <w:r>
        <w:rPr>
          <w:highlight w:val="none"/>
        </w:rPr>
      </w:r>
    </w:p>
    <w:p>
      <w:pPr>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致：</w:t>
      </w:r>
      <w:r>
        <w:rPr>
          <w:rFonts w:hint="eastAsia" w:ascii="仿宋" w:hAnsi="仿宋" w:eastAsia="仿宋" w:cs="仿宋"/>
          <w:sz w:val="28"/>
          <w:highlight w:val="none"/>
        </w:rPr>
        <w:t xml:space="preserve">江苏苏豪创新科技集团高科有限公司</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根据贵方的</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号招标文件，正式授权下述签字人_____(姓名)代表我方_______（投标人的名称），全权处理本次项目投标的有关事宜。</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据此函，__________签字</w:t>
      </w:r>
      <w:r>
        <w:rPr>
          <w:rFonts w:ascii="仿宋" w:hAnsi="仿宋" w:eastAsia="仿宋" w:cs="仿宋"/>
          <w:sz w:val="28"/>
          <w:highlight w:val="none"/>
        </w:rPr>
        <w:t xml:space="preserve">人兹宣布</w:t>
      </w:r>
      <w:r>
        <w:rPr>
          <w:rFonts w:ascii="仿宋" w:hAnsi="仿宋" w:eastAsia="仿宋" w:cs="仿宋"/>
          <w:sz w:val="28"/>
          <w:highlight w:val="none"/>
        </w:rPr>
        <w:t xml:space="preserve">同意如下：</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1.按招标文件规定的各项要求，向买方提供所需货物（包含与货物相关的服务）。</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2.我们完全理解贵方不一定将合同授予最低报价的投标人。</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3.我们已详细审核全部招标文件及其有效补充文件，我们知道必须放弃提出含糊不清或误解问题的权利。</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4.我们同意从规定的开标日期起遵循本投标文件，并在规定的投标有效期期满之前均具有约束力。</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5.同意向贵方提供贵方可能另外要求的与投标有关的任何证据或资料，并保证我方已提供和将要提供的文件是真实的、准确的。</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6.一旦我方中标,我方将根据招标文件的规定，严格履行合同的责任和义务,并保证在招标文件规定的时间完成项目，交付买方验收、使用。</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7.与本投标有关的正式通讯地址为：</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邮         编：</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电         话：</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传         真：</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投标人开户行：</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 </w:t>
      </w:r>
      <w:r>
        <w:rPr>
          <w:highlight w:val="none"/>
        </w:rPr>
      </w:r>
      <w:r>
        <w:rPr>
          <w:highlight w:val="none"/>
        </w:rPr>
      </w:r>
    </w:p>
    <w:p>
      <w:pPr>
        <w:ind w:firstLine="560"/>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期：________年____月____日</w:t>
      </w:r>
      <w:r>
        <w:rPr>
          <w:highlight w:val="none"/>
        </w:rPr>
      </w:r>
      <w:r>
        <w:rPr>
          <w:highlight w:val="none"/>
        </w:rPr>
      </w:r>
    </w:p>
    <w:p>
      <w:pPr>
        <w:pStyle w:val="835"/>
        <w:rPr>
          <w:highlight w:val="none"/>
        </w:rPr>
      </w:pPr>
      <w:r>
        <w:rPr>
          <w:highlight w:val="none"/>
        </w:rPr>
        <w:br w:type="page" w:clear="all"/>
      </w:r>
      <w:r>
        <w:rPr>
          <w:highlight w:val="none"/>
        </w:rPr>
      </w:r>
      <w:r>
        <w:rPr>
          <w:highlight w:val="none"/>
        </w:rPr>
      </w:r>
    </w:p>
    <w:p>
      <w:pPr>
        <w:pStyle w:val="801"/>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附件8 中小</w:t>
      </w:r>
      <w:r>
        <w:rPr>
          <w:rFonts w:ascii="仿宋" w:hAnsi="仿宋" w:eastAsia="仿宋" w:cs="仿宋"/>
          <w:b/>
          <w:sz w:val="28"/>
          <w:highlight w:val="none"/>
        </w:rPr>
        <w:t xml:space="preserve">微企业</w:t>
      </w:r>
      <w:r>
        <w:rPr>
          <w:rFonts w:ascii="仿宋" w:hAnsi="仿宋" w:eastAsia="仿宋" w:cs="仿宋"/>
          <w:b/>
          <w:sz w:val="28"/>
          <w:highlight w:val="none"/>
        </w:rPr>
        <w:t xml:space="preserve">声明函</w:t>
      </w:r>
      <w:r>
        <w:rPr>
          <w:highlight w:val="none"/>
        </w:rPr>
      </w:r>
      <w:r>
        <w:rPr>
          <w:highlight w:val="none"/>
        </w:rPr>
      </w:r>
    </w:p>
    <w:p>
      <w:pPr>
        <w:ind w:firstLine="28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中小</w:t>
      </w:r>
      <w:r>
        <w:rPr>
          <w:rFonts w:ascii="仿宋" w:hAnsi="仿宋" w:eastAsia="仿宋" w:cs="仿宋"/>
          <w:b/>
          <w:sz w:val="28"/>
          <w:highlight w:val="none"/>
        </w:rPr>
        <w:t xml:space="preserve">微企业</w:t>
      </w:r>
      <w:r>
        <w:rPr>
          <w:rFonts w:ascii="仿宋" w:hAnsi="仿宋" w:eastAsia="仿宋" w:cs="仿宋"/>
          <w:b/>
          <w:sz w:val="28"/>
          <w:highlight w:val="none"/>
        </w:rPr>
        <w:t xml:space="preserve">声明函（货物类项目）</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本公司（联合体）郑重声明，根据《政府采购促进中小企业发展管理办法》(财库[2020]46号)的规定，本公司（联合体）参加</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组织的</w:t>
      </w:r>
      <w:r>
        <w:rPr>
          <w:rFonts w:ascii="仿宋" w:hAnsi="仿宋" w:eastAsia="仿宋" w:cs="仿宋"/>
          <w:sz w:val="28"/>
          <w:highlight w:val="none"/>
          <w:u w:val="single"/>
        </w:rPr>
        <w:t xml:space="preserve">（单位名称）</w:t>
      </w:r>
      <w:r>
        <w:rPr>
          <w:rFonts w:ascii="仿宋" w:hAnsi="仿宋" w:eastAsia="仿宋" w:cs="仿宋"/>
          <w:sz w:val="28"/>
          <w:highlight w:val="none"/>
        </w:rPr>
        <w:t xml:space="preserve">采购编号为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w:t>
      </w:r>
      <w:r>
        <w:rPr>
          <w:rFonts w:ascii="仿宋" w:hAnsi="仿宋" w:eastAsia="仿宋" w:cs="仿宋"/>
          <w:sz w:val="28"/>
          <w:highlight w:val="none"/>
          <w:u w:val="single"/>
        </w:rPr>
        <w:t xml:space="preserve">（项目名称）</w:t>
      </w:r>
      <w:r>
        <w:rPr>
          <w:rFonts w:ascii="仿宋" w:hAnsi="仿宋" w:eastAsia="仿宋" w:cs="仿宋"/>
          <w:sz w:val="28"/>
          <w:highlight w:val="none"/>
        </w:rPr>
        <w:t xml:space="preserve">的采购活动，提供的货物全部由符合政策要求的中小</w:t>
      </w:r>
      <w:r>
        <w:rPr>
          <w:rFonts w:ascii="仿宋" w:hAnsi="仿宋" w:eastAsia="仿宋" w:cs="仿宋"/>
          <w:sz w:val="28"/>
          <w:highlight w:val="none"/>
        </w:rPr>
        <w:t xml:space="preserve">微企业</w:t>
      </w:r>
      <w:r>
        <w:rPr>
          <w:rFonts w:ascii="仿宋" w:hAnsi="仿宋" w:eastAsia="仿宋" w:cs="仿宋"/>
          <w:sz w:val="28"/>
          <w:highlight w:val="none"/>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以上企业，不属于大企业的分支机构，不存在控股股东为大企业的情形，也不存在与大企业的负责人为同一人的情形。</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本企业对上述声明内容的真实性负责。如有虚假，将依法承担相应责任</w:t>
      </w:r>
      <w:r>
        <w:rPr>
          <w:highlight w:val="none"/>
        </w:rPr>
      </w:r>
      <w:r>
        <w:rPr>
          <w:highlight w:val="none"/>
        </w:rPr>
      </w:r>
    </w:p>
    <w:p>
      <w:pPr>
        <w:ind w:right="72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ind w:right="180" w:firstLine="420"/>
        <w:jc w:val="right"/>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企业名称（加盖CA电子公章）：</w:t>
      </w:r>
      <w:r>
        <w:rPr>
          <w:highlight w:val="none"/>
        </w:rPr>
      </w:r>
      <w:r>
        <w:rPr>
          <w:highlight w:val="none"/>
        </w:rPr>
      </w:r>
    </w:p>
    <w:p>
      <w:pPr>
        <w:ind w:right="480" w:firstLine="630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w:t>
      </w:r>
      <w:r>
        <w:rPr>
          <w:highlight w:val="none"/>
        </w:rPr>
      </w:r>
      <w:r>
        <w:rPr>
          <w:highlight w:val="none"/>
        </w:rPr>
      </w:r>
    </w:p>
    <w:p>
      <w:pPr>
        <w:ind w:right="480" w:firstLine="6300"/>
        <w:jc w:val="both"/>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1.从业人员、营业收入、资产总额填报上一年度数据，无上</w:t>
      </w:r>
      <w:r>
        <w:rPr>
          <w:rFonts w:ascii="仿宋" w:hAnsi="仿宋" w:eastAsia="仿宋" w:cs="仿宋"/>
          <w:sz w:val="28"/>
          <w:highlight w:val="none"/>
        </w:rPr>
        <w:t xml:space="preserve">一</w:t>
      </w:r>
      <w:r>
        <w:rPr>
          <w:rFonts w:ascii="仿宋" w:hAnsi="仿宋" w:eastAsia="仿宋" w:cs="仿宋"/>
          <w:sz w:val="28"/>
          <w:highlight w:val="none"/>
        </w:rPr>
        <w:t xml:space="preserve">年度数据的新成立企业可不填报。</w:t>
      </w:r>
      <w:r>
        <w:rPr>
          <w:highlight w:val="none"/>
        </w:rPr>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3.供应商</w:t>
      </w:r>
      <w:r>
        <w:rPr>
          <w:rFonts w:ascii="仿宋" w:hAnsi="仿宋" w:eastAsia="仿宋" w:cs="仿宋"/>
          <w:sz w:val="28"/>
          <w:highlight w:val="none"/>
        </w:rPr>
        <w:t xml:space="preserve">自行勾选制造商</w:t>
      </w:r>
      <w:r>
        <w:rPr>
          <w:rFonts w:ascii="仿宋" w:hAnsi="仿宋" w:eastAsia="仿宋" w:cs="仿宋"/>
          <w:sz w:val="28"/>
          <w:highlight w:val="none"/>
        </w:rPr>
        <w:t xml:space="preserve">的企业规模类型。</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附件9残疾人福利性单位声明函</w:t>
      </w:r>
      <w:r>
        <w:rPr>
          <w:highlight w:val="none"/>
        </w:rPr>
      </w:r>
      <w:r>
        <w:rPr>
          <w:highlight w:val="none"/>
        </w:rPr>
      </w:r>
    </w:p>
    <w:p>
      <w:pPr>
        <w:ind w:left="561" w:hanging="14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残疾人福利性单位声明函（货物类项目）</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的项目采购活动提供本单位制造的货物，或者提供其他残疾人福利性单位制造的货物（不包括使用非残疾人福利性单位注册商标的货物）。</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本单位对上述声明的真实性负责。如有虚假，将依法承担相应责任。</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 非专门面向中小微型企业采购的项目，供应商如不提供此声明函，价格将不做相应扣除。</w:t>
      </w: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3.中标/成交供应商为残疾人福利性单位的，此</w:t>
      </w:r>
      <w:r>
        <w:rPr>
          <w:rFonts w:ascii="仿宋" w:hAnsi="仿宋" w:eastAsia="仿宋" w:cs="仿宋"/>
          <w:sz w:val="28"/>
          <w:highlight w:val="none"/>
        </w:rPr>
        <w:t xml:space="preserve">声明函将随</w:t>
      </w:r>
      <w:r>
        <w:rPr>
          <w:rFonts w:ascii="仿宋" w:hAnsi="仿宋" w:eastAsia="仿宋" w:cs="仿宋"/>
          <w:sz w:val="28"/>
          <w:highlight w:val="none"/>
        </w:rPr>
        <w:t xml:space="preserve">中标/成交结果同时公告，接受社会监督。</w:t>
      </w:r>
      <w:r>
        <w:rPr>
          <w:highlight w:val="none"/>
        </w:rPr>
      </w:r>
      <w:r>
        <w:rPr>
          <w:highlight w:val="none"/>
        </w:rPr>
      </w:r>
    </w:p>
    <w:p>
      <w:pPr>
        <w:ind w:firstLine="584"/>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8"/>
          <w:highlight w:val="none"/>
        </w:rPr>
        <w:t xml:space="preserve"> </w:t>
      </w:r>
      <w:r>
        <w:rPr>
          <w:highlight w:val="none"/>
        </w:rPr>
      </w:r>
      <w:r>
        <w:rPr>
          <w:highlight w:val="none"/>
        </w:rPr>
      </w:r>
    </w:p>
    <w:p>
      <w:pPr>
        <w:ind w:right="873" w:firstLine="584"/>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供应商全称（加盖CA电子章）：</w:t>
      </w:r>
      <w:r>
        <w:rPr>
          <w:highlight w:val="none"/>
        </w:rPr>
      </w:r>
      <w:r>
        <w:rPr>
          <w:highlight w:val="none"/>
        </w:rPr>
      </w:r>
    </w:p>
    <w:p>
      <w:pPr>
        <w:ind w:right="1559" w:firstLine="560"/>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日  期：</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w:t>
      </w:r>
      <w:r>
        <w:rPr>
          <w:rFonts w:ascii="仿宋" w:hAnsi="仿宋" w:eastAsia="仿宋" w:cs="仿宋"/>
          <w:sz w:val="28"/>
          <w:highlight w:val="none"/>
        </w:rPr>
        <w:t xml:space="preserve">0实质性要求响应及偏离表</w:t>
      </w:r>
      <w:r>
        <w:rPr>
          <w:highlight w:val="none"/>
        </w:rPr>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实质性要求响应及偏离表</w:t>
      </w:r>
      <w:r>
        <w:rPr>
          <w:highlight w:val="none"/>
        </w:rPr>
      </w:r>
      <w:r>
        <w:rPr>
          <w:highlight w:val="none"/>
        </w:rPr>
      </w:r>
    </w:p>
    <w:tbl>
      <w:tblPr>
        <w:tblStyle w:val="836"/>
        <w:tblW w:w="892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技术要求和商务要求中的实质性要求</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附件证明材料1，证明材料2，……</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1.投标人必须对技术要求和商务要求中的实质性要求逐条做出明确响应，否则作无效投标处理。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2.如果招标文件要求提供证明材料，投标人必须将证明材料列于该表之下。</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3.投标人未对实质性要求逐条</w:t>
      </w:r>
      <w:r>
        <w:rPr>
          <w:rFonts w:ascii="仿宋" w:hAnsi="仿宋" w:eastAsia="仿宋" w:cs="仿宋"/>
          <w:sz w:val="28"/>
          <w:highlight w:val="none"/>
        </w:rPr>
        <w:t xml:space="preserve">作出</w:t>
      </w:r>
      <w:r>
        <w:rPr>
          <w:rFonts w:ascii="仿宋" w:hAnsi="仿宋" w:eastAsia="仿宋" w:cs="仿宋"/>
          <w:sz w:val="28"/>
          <w:highlight w:val="none"/>
        </w:rPr>
        <w:t xml:space="preserve">明确响应的，或未按招标文件要求提供证明材料的，该分包作无效投标处理。</w:t>
      </w: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rPr>
          <w:highlight w:val="none"/>
        </w:rPr>
      </w:r>
    </w:p>
    <w:p>
      <w:pPr>
        <w:pStyle w:val="801"/>
        <w:jc w:val="center"/>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附件11相关业绩案例一览表（如有）</w:t>
      </w:r>
      <w:r>
        <w:rPr>
          <w:highlight w:val="none"/>
        </w:rPr>
      </w:r>
      <w:r>
        <w:rPr>
          <w:highlight w:val="none"/>
        </w:rPr>
      </w:r>
    </w:p>
    <w:tbl>
      <w:tblPr>
        <w:tblStyle w:val="836"/>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序号</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项目名称</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供货设备清单</w:t>
            </w:r>
            <w:r>
              <w:rPr>
                <w:highlight w:val="none"/>
              </w:rPr>
            </w:r>
            <w:r>
              <w:rPr>
                <w:highlight w:val="none"/>
              </w:rPr>
            </w:r>
          </w:p>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（品牌、型号）</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数量</w:t>
            </w:r>
            <w:r>
              <w:rPr>
                <w:highlight w:val="none"/>
              </w:rPr>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签订时间</w:t>
            </w:r>
            <w:r>
              <w:rPr>
                <w:highlight w:val="none"/>
              </w:rPr>
            </w:r>
            <w:r>
              <w:rPr>
                <w:highlight w:val="none"/>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业主名称</w:t>
            </w:r>
            <w:r>
              <w:rPr>
                <w:highlight w:val="none"/>
              </w:rPr>
            </w:r>
            <w:r>
              <w:rPr>
                <w:highlight w:val="none"/>
              </w:rPr>
            </w:r>
          </w:p>
          <w:p>
            <w:pPr>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联系人/电话</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1</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2</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3</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4</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z w:val="28"/>
                <w:highlight w:val="none"/>
              </w:rPr>
              <w:t xml:space="preserve">5</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r>
              <w:rPr>
                <w:highlight w:val="none"/>
              </w:rPr>
            </w:r>
          </w:p>
        </w:tc>
      </w:tr>
    </w:tbl>
    <w:p>
      <w:pPr>
        <w:jc w:val="both"/>
        <w:spacing w:line="68"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highlight w:val="none"/>
        </w:rPr>
        <w:t xml:space="preserve">说明：</w:t>
      </w:r>
      <w:r>
        <w:rPr>
          <w:highlight w:val="none"/>
        </w:rPr>
      </w:r>
      <w:r>
        <w:rPr>
          <w:highlight w:val="none"/>
        </w:rPr>
      </w:r>
    </w:p>
    <w:p>
      <w:pPr>
        <w:jc w:val="both"/>
        <w:spacing w:line="68"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highlight w:val="none"/>
        </w:rPr>
        <w:t xml:space="preserve">1.投标人须提供上述业绩合同复印件；</w:t>
      </w:r>
      <w:r>
        <w:rPr>
          <w:highlight w:val="none"/>
        </w:rPr>
      </w:r>
      <w:r>
        <w:rPr>
          <w:highlight w:val="none"/>
        </w:rPr>
      </w:r>
    </w:p>
    <w:p>
      <w:pPr>
        <w:jc w:val="both"/>
        <w:spacing w:line="68"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highlight w:val="none"/>
        </w:rPr>
        <w:t xml:space="preserve">2.所有合同复印件应清晰，应能体现合同签订时间、双方签名盖章等内容；</w:t>
      </w:r>
      <w:r>
        <w:rPr>
          <w:highlight w:val="none"/>
        </w:rPr>
      </w:r>
      <w:r>
        <w:rPr>
          <w:highlight w:val="none"/>
        </w:rPr>
      </w:r>
    </w:p>
    <w:p>
      <w:pPr>
        <w:jc w:val="both"/>
        <w:spacing w:line="68"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highlight w:val="none"/>
        </w:rPr>
        <w:t xml:space="preserve">3.投标人应在不涉及商业秘密的前提下尽可能提供详细的合同复印件内容。</w:t>
      </w:r>
      <w:r>
        <w:rPr>
          <w:highlight w:val="none"/>
        </w:rPr>
      </w:r>
      <w:r>
        <w:rPr>
          <w:highlight w:val="none"/>
        </w:rPr>
      </w:r>
    </w:p>
    <w:p>
      <w:pPr>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highlight w:val="none"/>
        </w:rPr>
        <w:br w:type="page" w:clear="all"/>
      </w:r>
      <w:r>
        <w:rPr>
          <w:highlight w:val="none"/>
        </w:rPr>
      </w:r>
      <w:r>
        <w:rPr>
          <w:highlight w:val="none"/>
        </w:rPr>
      </w:r>
    </w:p>
    <w:p>
      <w:pPr>
        <w:pStyle w:val="801"/>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质疑函范本</w:t>
      </w:r>
      <w:r>
        <w:rPr>
          <w:highlight w:val="none"/>
        </w:rPr>
      </w:r>
      <w:r>
        <w:rPr>
          <w:highlight w:val="none"/>
        </w:rPr>
      </w:r>
    </w:p>
    <w:p>
      <w:pPr>
        <w:jc w:val="both"/>
        <w:spacing w:before="29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一、质疑供应商基本信息</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质疑供应商：</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地址：邮编：</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联系人：联系电话：</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授权代表：</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联系电话：</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地址：邮编：</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二、质疑项目基本情况</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质疑项目的名称：</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质疑项目的编号：包号：</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采购人名称：</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采购文件获取日期：</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三、质疑事项具体内容</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质疑事项1：</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事实依据：</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法律依据：</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u w:val="single"/>
        </w:rPr>
        <w:t xml:space="preserve"> </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质疑事项2</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四、与质疑事项相关的质疑请求</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请求：</w:t>
      </w:r>
      <w:r>
        <w:rPr>
          <w:highlight w:val="none"/>
        </w:rPr>
      </w:r>
      <w:r>
        <w:rPr>
          <w:highlight w:val="none"/>
        </w:rPr>
      </w:r>
    </w:p>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签字(签章)：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公章：</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日期：</w:t>
      </w:r>
      <w:r>
        <w:rPr>
          <w:highlight w:val="none"/>
        </w:rPr>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质疑函制作说明：</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1.供应商提出质疑时，应提交质疑函和必要的证明材料。</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2.质疑供应商若委托代理人进行质疑的，</w:t>
      </w:r>
      <w:r>
        <w:rPr>
          <w:rFonts w:ascii="仿宋" w:hAnsi="仿宋" w:eastAsia="仿宋" w:cs="仿宋"/>
          <w:sz w:val="28"/>
          <w:highlight w:val="none"/>
        </w:rPr>
        <w:t xml:space="preserve">质疑函应按</w:t>
      </w:r>
      <w:r>
        <w:rPr>
          <w:rFonts w:ascii="仿宋" w:hAnsi="仿宋" w:eastAsia="仿宋" w:cs="仿宋"/>
          <w:sz w:val="28"/>
          <w:highlight w:val="none"/>
        </w:rPr>
        <w:t xml:space="preserve">要求列明“授权代表”的有关内容，并在附件中提交由质疑供应商签署的授权委托书。授权委托书应载明代理人的姓名或者名称、代理事项、具体权限、期限和相关事项。</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3.质疑供应商若对项目的某一分包进行质疑，质疑函中应列明具体分包号。</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4.质疑函的质疑事项应具体、明确，并有必要的事实依据和法律依据。</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5.质疑函的质疑请求应与质疑事项相关。</w:t>
      </w:r>
      <w:r>
        <w:rPr>
          <w:highlight w:val="none"/>
        </w:rPr>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6.质疑供应商为自然人的，</w:t>
      </w:r>
      <w:r>
        <w:rPr>
          <w:rFonts w:ascii="仿宋" w:hAnsi="仿宋" w:eastAsia="仿宋" w:cs="仿宋"/>
          <w:sz w:val="28"/>
          <w:highlight w:val="none"/>
        </w:rPr>
        <w:t xml:space="preserve">质疑函应由</w:t>
      </w:r>
      <w:r>
        <w:rPr>
          <w:rFonts w:ascii="仿宋" w:hAnsi="仿宋" w:eastAsia="仿宋" w:cs="仿宋"/>
          <w:sz w:val="28"/>
          <w:highlight w:val="none"/>
        </w:rPr>
        <w:t xml:space="preserve">本人签字；质疑供应商为法人或者其他组织的，</w:t>
      </w:r>
      <w:r>
        <w:rPr>
          <w:rFonts w:ascii="仿宋" w:hAnsi="仿宋" w:eastAsia="仿宋" w:cs="仿宋"/>
          <w:sz w:val="28"/>
          <w:highlight w:val="none"/>
        </w:rPr>
        <w:t xml:space="preserve">质疑函应由</w:t>
      </w:r>
      <w:r>
        <w:rPr>
          <w:rFonts w:ascii="仿宋" w:hAnsi="仿宋" w:eastAsia="仿宋" w:cs="仿宋"/>
          <w:sz w:val="28"/>
          <w:highlight w:val="none"/>
        </w:rPr>
        <w:t xml:space="preserve">法定代表人、主要负责人，或者其授权代表签字或者盖章，并加盖公章。</w:t>
      </w:r>
      <w:r>
        <w:rPr>
          <w:highlight w:val="none"/>
        </w:rPr>
      </w:r>
      <w:r>
        <w:rPr>
          <w:highlight w:val="none"/>
        </w:rPr>
      </w:r>
    </w:p>
    <w:p>
      <w:pPr>
        <w:rPr>
          <w:highlight w:val="none"/>
        </w:rPr>
      </w:pPr>
      <w:r>
        <w:rPr>
          <w:highlight w:val="none"/>
        </w:rPr>
      </w:r>
      <w:r>
        <w:rPr>
          <w:highlight w:val="none"/>
        </w:rPr>
      </w:r>
      <w:r>
        <w:rPr>
          <w:highlight w:val="none"/>
        </w:rPr>
      </w:r>
    </w:p>
    <w:sectPr>
      <w:headerReference w:type="default" r:id="rId12"/>
      <w:footerReference w:type="default" r:id="rId16"/>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仿宋">
    <w:panose1 w:val="02010609060101010101"/>
  </w:font>
  <w:font w:name="Symbol">
    <w:panose1 w:val="05050102010706020507"/>
  </w:font>
  <w:font w:name="微软雅黑">
    <w:panose1 w:val="020B0503020204020204"/>
  </w:font>
  <w:font w:name="Calibri">
    <w:panose1 w:val="020F0502020204030204"/>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left="482"/>
      <w:jc w:val="center"/>
      <w:tabs>
        <w:tab w:val="center" w:pos="4153" w:leader="none"/>
        <w:tab w:val="clear" w:pos="7143" w:leader="none"/>
        <w:tab w:val="right" w:pos="8306" w:leader="none"/>
        <w:tab w:val="clear" w:pos="14287" w:leader="none"/>
      </w:tabs>
    </w:pPr>
    <w:r/>
    <w:r/>
  </w:p>
  <w:p>
    <w:pPr>
      <w:pStyle w:val="82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823"/>
          <w:jc w:val="center"/>
        </w:pPr>
        <w:r>
          <w:fldChar w:fldCharType="begin"/>
        </w:r>
        <w:r>
          <w:instrText xml:space="preserve">PAGE   \* MERGEFORMAT</w:instrText>
        </w:r>
        <w:r>
          <w:fldChar w:fldCharType="separate"/>
        </w:r>
        <w:r>
          <w:rPr>
            <w:lang w:val="zh-CN"/>
          </w:rPr>
          <w:t xml:space="preserve">66</w:t>
        </w:r>
        <w:r>
          <w:rPr>
            <w:lang w:val="zh-CN"/>
          </w:rPr>
          <w:fldChar w:fldCharType="end"/>
        </w:r>
        <w:r/>
      </w:p>
    </w:sdtContent>
  </w:sdt>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8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510" w:hanging="510"/>
      </w:pPr>
      <w:rPr>
        <w:rFonts w:hint="default"/>
      </w:rPr>
    </w:lvl>
    <w:lvl w:ilvl="1">
      <w:start w:val="3"/>
      <w:numFmt w:val="bullet"/>
      <w:isLgl w:val="false"/>
      <w:suff w:val="tab"/>
      <w:lvlText w:val="★"/>
      <w:lvlJc w:val="left"/>
      <w:pPr>
        <w:ind w:left="780" w:hanging="360"/>
      </w:pPr>
      <w:rPr>
        <w:rFonts w:hint="eastAsia" w:ascii="宋体" w:hAnsi="宋体" w:eastAsia="宋体" w:cs="Times New Roman"/>
      </w:rPr>
    </w:lvl>
    <w:lvl w:ilvl="2">
      <w:start w:val="1"/>
      <w:numFmt w:val="decimal"/>
      <w:isLgl w:val="false"/>
      <w:suff w:val="tab"/>
      <w:lvlText w:val="%3)"/>
      <w:lvlJc w:val="left"/>
      <w:pPr>
        <w:ind w:left="1200" w:hanging="360"/>
      </w:pPr>
      <w:rPr>
        <w:rFonts w:hint="eastAsia"/>
      </w:rPr>
    </w:lvl>
    <w:lvl w:ilvl="3">
      <w:start w:val="1"/>
      <w:numFmt w:val="decimal"/>
      <w:isLgl w:val="false"/>
      <w:suff w:val="tab"/>
      <w:lvlText w:val="%4）"/>
      <w:lvlJc w:val="left"/>
      <w:pPr>
        <w:ind w:left="1620" w:hanging="360"/>
      </w:pPr>
      <w:rPr>
        <w:rFonts w:hint="eastAsia"/>
      </w:rPr>
    </w:lvl>
    <w:lvl w:ilvl="4">
      <w:start w:val="1"/>
      <w:numFmt w:val="decimal"/>
      <w:isLgl w:val="false"/>
      <w:suff w:val="tab"/>
      <w:lvlText w:val="%5."/>
      <w:lvlJc w:val="left"/>
      <w:pPr>
        <w:ind w:left="2040" w:hanging="360"/>
      </w:pPr>
      <w:rPr>
        <w:rFonts w:hint="default"/>
        <w:color w:val="000000"/>
      </w:r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8"/>
  </w:num>
  <w:num w:numId="3">
    <w:abstractNumId w:val="5"/>
  </w:num>
  <w:num w:numId="4">
    <w:abstractNumId w:val="3"/>
  </w:num>
  <w:num w:numId="5">
    <w:abstractNumId w:val="2"/>
  </w:num>
  <w:num w:numId="6">
    <w:abstractNumId w:val="0"/>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8">
    <w:name w:val="TOC Heading"/>
    <w:uiPriority w:val="39"/>
    <w:unhideWhenUsed/>
  </w:style>
  <w:style w:type="paragraph" w:styleId="799" w:default="1">
    <w:name w:val="Normal"/>
    <w:qFormat/>
    <w:rPr>
      <w:rFonts w:eastAsiaTheme="minorEastAsia"/>
    </w:rPr>
  </w:style>
  <w:style w:type="paragraph" w:styleId="800">
    <w:name w:val="Heading 1"/>
    <w:basedOn w:val="799"/>
    <w:next w:val="799"/>
    <w:link w:val="879"/>
    <w:uiPriority w:val="9"/>
    <w:qFormat/>
    <w:pPr>
      <w:keepLines/>
      <w:keepNext/>
      <w:spacing w:before="480" w:after="200"/>
      <w:outlineLvl w:val="0"/>
    </w:pPr>
    <w:rPr>
      <w:rFonts w:ascii="Arial" w:hAnsi="Arial" w:eastAsia="Arial" w:cs="Arial"/>
      <w:sz w:val="40"/>
      <w:szCs w:val="40"/>
    </w:rPr>
  </w:style>
  <w:style w:type="paragraph" w:styleId="801">
    <w:name w:val="Heading 2"/>
    <w:next w:val="799"/>
    <w:link w:val="880"/>
    <w:uiPriority w:val="9"/>
    <w:unhideWhenUsed/>
    <w:qFormat/>
    <w:pPr>
      <w:keepLines/>
      <w:keepNext/>
      <w:spacing w:before="360" w:after="200"/>
      <w:outlineLvl w:val="1"/>
    </w:pPr>
    <w:rPr>
      <w:rFonts w:ascii="Arial" w:hAnsi="Arial" w:eastAsia="Arial" w:cs="Arial"/>
      <w:sz w:val="34"/>
    </w:rPr>
  </w:style>
  <w:style w:type="paragraph" w:styleId="802">
    <w:name w:val="Heading 3"/>
    <w:next w:val="799"/>
    <w:link w:val="881"/>
    <w:uiPriority w:val="9"/>
    <w:unhideWhenUsed/>
    <w:qFormat/>
    <w:pPr>
      <w:keepLines/>
      <w:keepNext/>
      <w:spacing w:before="320" w:after="200"/>
      <w:outlineLvl w:val="2"/>
    </w:pPr>
    <w:rPr>
      <w:rFonts w:ascii="Arial" w:hAnsi="Arial" w:eastAsia="Arial" w:cs="Arial"/>
      <w:sz w:val="30"/>
      <w:szCs w:val="30"/>
    </w:rPr>
  </w:style>
  <w:style w:type="paragraph" w:styleId="803">
    <w:name w:val="Heading 4"/>
    <w:next w:val="799"/>
    <w:link w:val="882"/>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next w:val="799"/>
    <w:link w:val="883"/>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next w:val="799"/>
    <w:link w:val="884"/>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next w:val="799"/>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next w:val="799"/>
    <w:link w:val="886"/>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next w:val="799"/>
    <w:link w:val="887"/>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style>
  <w:style w:type="table" w:styleId="810" w:default="1">
    <w:name w:val="Normal Table"/>
    <w:uiPriority w:val="99"/>
    <w:semiHidden/>
    <w:unhideWhenUsed/>
    <w:tblPr>
      <w:tblInd w:w="0" w:type="dxa"/>
      <w:tblCellMar>
        <w:left w:w="108" w:type="dxa"/>
        <w:top w:w="0" w:type="dxa"/>
        <w:right w:w="108" w:type="dxa"/>
        <w:bottom w:w="0" w:type="dxa"/>
      </w:tblCellMar>
    </w:tblPr>
  </w:style>
  <w:style w:type="numbering" w:styleId="811" w:default="1">
    <w:name w:val="No List"/>
    <w:uiPriority w:val="99"/>
    <w:semiHidden/>
    <w:unhideWhenUsed/>
  </w:style>
  <w:style w:type="paragraph" w:styleId="812">
    <w:name w:val="toc 7"/>
    <w:next w:val="799"/>
    <w:uiPriority w:val="39"/>
    <w:unhideWhenUsed/>
    <w:qFormat/>
    <w:pPr>
      <w:ind w:left="1701"/>
      <w:spacing w:after="57"/>
    </w:pPr>
    <w:rPr>
      <w:rFonts w:eastAsiaTheme="minorEastAsia"/>
    </w:rPr>
  </w:style>
  <w:style w:type="paragraph" w:styleId="813">
    <w:name w:val="Caption"/>
    <w:next w:val="799"/>
    <w:uiPriority w:val="35"/>
    <w:semiHidden/>
    <w:unhideWhenUsed/>
    <w:qFormat/>
    <w:pPr>
      <w:spacing w:line="276" w:lineRule="auto"/>
    </w:pPr>
    <w:rPr>
      <w:rFonts w:eastAsiaTheme="minorEastAsia"/>
      <w:b/>
      <w:bCs/>
      <w:color w:val="4f81bd" w:themeColor="accent1"/>
      <w:sz w:val="18"/>
      <w:szCs w:val="18"/>
    </w:rPr>
  </w:style>
  <w:style w:type="paragraph" w:styleId="814">
    <w:name w:val="annotation text"/>
    <w:basedOn w:val="799"/>
    <w:link w:val="1009"/>
    <w:unhideWhenUsed/>
    <w:qFormat/>
  </w:style>
  <w:style w:type="paragraph" w:styleId="815">
    <w:name w:val="Body Text"/>
    <w:basedOn w:val="799"/>
    <w:next w:val="799"/>
    <w:qFormat/>
    <w:rPr>
      <w:rFonts w:ascii="楷体_GB2312" w:hAnsi="Arial" w:eastAsia="楷体_GB2312"/>
      <w:sz w:val="28"/>
      <w:szCs w:val="28"/>
    </w:rPr>
  </w:style>
  <w:style w:type="paragraph" w:styleId="816">
    <w:name w:val="Body Text Indent"/>
    <w:basedOn w:val="799"/>
    <w:link w:val="1022"/>
    <w:uiPriority w:val="99"/>
    <w:semiHidden/>
    <w:unhideWhenUsed/>
    <w:pPr>
      <w:ind w:left="420"/>
      <w:jc w:val="both"/>
      <w:spacing w:after="120"/>
      <w:widowControl w:val="off"/>
    </w:pPr>
    <w:rPr>
      <w:rFonts w:asciiTheme="minorHAnsi" w:hAnsiTheme="minorHAnsi" w:cstheme="minorBidi"/>
      <w:sz w:val="21"/>
      <w:szCs w:val="22"/>
    </w:rPr>
  </w:style>
  <w:style w:type="paragraph" w:styleId="817">
    <w:name w:val="toc 5"/>
    <w:next w:val="799"/>
    <w:uiPriority w:val="39"/>
    <w:unhideWhenUsed/>
    <w:qFormat/>
    <w:pPr>
      <w:ind w:left="1134"/>
      <w:spacing w:after="57"/>
    </w:pPr>
    <w:rPr>
      <w:rFonts w:eastAsiaTheme="minorEastAsia"/>
    </w:rPr>
  </w:style>
  <w:style w:type="paragraph" w:styleId="818">
    <w:name w:val="toc 3"/>
    <w:next w:val="799"/>
    <w:uiPriority w:val="39"/>
    <w:unhideWhenUsed/>
    <w:qFormat/>
    <w:pPr>
      <w:ind w:left="567"/>
      <w:spacing w:after="57"/>
    </w:pPr>
    <w:rPr>
      <w:rFonts w:eastAsiaTheme="minorEastAsia"/>
    </w:rPr>
  </w:style>
  <w:style w:type="paragraph" w:styleId="819">
    <w:name w:val="Plain Text"/>
    <w:basedOn w:val="799"/>
    <w:link w:val="1023"/>
    <w:qFormat/>
    <w:pPr>
      <w:jc w:val="both"/>
      <w:widowControl w:val="off"/>
    </w:pPr>
    <w:rPr>
      <w:rFonts w:ascii="宋体" w:hAnsi="Courier New" w:eastAsia="宋体" w:cs="Courier New"/>
      <w:sz w:val="21"/>
      <w:szCs w:val="21"/>
    </w:rPr>
  </w:style>
  <w:style w:type="paragraph" w:styleId="820">
    <w:name w:val="toc 8"/>
    <w:next w:val="799"/>
    <w:uiPriority w:val="39"/>
    <w:unhideWhenUsed/>
    <w:qFormat/>
    <w:pPr>
      <w:ind w:left="1984"/>
      <w:spacing w:after="57"/>
    </w:pPr>
    <w:rPr>
      <w:rFonts w:eastAsiaTheme="minorEastAsia"/>
    </w:rPr>
  </w:style>
  <w:style w:type="paragraph" w:styleId="821">
    <w:name w:val="endnote text"/>
    <w:link w:val="1006"/>
    <w:uiPriority w:val="99"/>
    <w:semiHidden/>
    <w:unhideWhenUsed/>
    <w:qFormat/>
    <w:rPr>
      <w:rFonts w:eastAsiaTheme="minorEastAsia"/>
    </w:rPr>
  </w:style>
  <w:style w:type="paragraph" w:styleId="822">
    <w:name w:val="Balloon Text"/>
    <w:basedOn w:val="799"/>
    <w:link w:val="1011"/>
    <w:uiPriority w:val="99"/>
    <w:semiHidden/>
    <w:unhideWhenUsed/>
    <w:qFormat/>
    <w:rPr>
      <w:sz w:val="18"/>
      <w:szCs w:val="18"/>
    </w:rPr>
  </w:style>
  <w:style w:type="paragraph" w:styleId="823">
    <w:name w:val="Footer"/>
    <w:basedOn w:val="799"/>
    <w:link w:val="898"/>
    <w:uiPriority w:val="99"/>
    <w:unhideWhenUsed/>
    <w:qFormat/>
    <w:pPr>
      <w:tabs>
        <w:tab w:val="center" w:pos="7143" w:leader="none"/>
        <w:tab w:val="right" w:pos="14287" w:leader="none"/>
      </w:tabs>
    </w:pPr>
  </w:style>
  <w:style w:type="paragraph" w:styleId="824">
    <w:name w:val="Header"/>
    <w:basedOn w:val="799"/>
    <w:link w:val="896"/>
    <w:uiPriority w:val="99"/>
    <w:unhideWhenUsed/>
    <w:qFormat/>
    <w:pPr>
      <w:tabs>
        <w:tab w:val="center" w:pos="7143" w:leader="none"/>
        <w:tab w:val="right" w:pos="14287" w:leader="none"/>
      </w:tabs>
    </w:pPr>
  </w:style>
  <w:style w:type="paragraph" w:styleId="825">
    <w:name w:val="toc 1"/>
    <w:next w:val="799"/>
    <w:uiPriority w:val="39"/>
    <w:unhideWhenUsed/>
    <w:qFormat/>
    <w:pPr>
      <w:spacing w:after="57"/>
    </w:pPr>
    <w:rPr>
      <w:rFonts w:eastAsiaTheme="minorEastAsia"/>
    </w:rPr>
  </w:style>
  <w:style w:type="paragraph" w:styleId="826">
    <w:name w:val="toc 4"/>
    <w:next w:val="799"/>
    <w:uiPriority w:val="39"/>
    <w:unhideWhenUsed/>
    <w:qFormat/>
    <w:pPr>
      <w:ind w:left="850"/>
      <w:spacing w:after="57"/>
    </w:pPr>
    <w:rPr>
      <w:rFonts w:eastAsiaTheme="minorEastAsia"/>
    </w:rPr>
  </w:style>
  <w:style w:type="paragraph" w:styleId="827">
    <w:name w:val="Subtitle"/>
    <w:link w:val="891"/>
    <w:uiPriority w:val="11"/>
    <w:qFormat/>
    <w:pPr>
      <w:spacing w:before="200" w:after="200"/>
    </w:pPr>
    <w:rPr>
      <w:rFonts w:eastAsiaTheme="minorEastAsia"/>
      <w:sz w:val="24"/>
      <w:szCs w:val="24"/>
    </w:rPr>
  </w:style>
  <w:style w:type="paragraph" w:styleId="828">
    <w:name w:val="footnote text"/>
    <w:link w:val="1005"/>
    <w:uiPriority w:val="99"/>
    <w:semiHidden/>
    <w:unhideWhenUsed/>
    <w:qFormat/>
    <w:pPr>
      <w:spacing w:after="40"/>
    </w:pPr>
    <w:rPr>
      <w:rFonts w:eastAsiaTheme="minorEastAsia"/>
      <w:sz w:val="18"/>
    </w:rPr>
  </w:style>
  <w:style w:type="paragraph" w:styleId="829">
    <w:name w:val="toc 6"/>
    <w:next w:val="799"/>
    <w:uiPriority w:val="39"/>
    <w:unhideWhenUsed/>
    <w:qFormat/>
    <w:pPr>
      <w:ind w:left="1417"/>
      <w:spacing w:after="57"/>
    </w:pPr>
    <w:rPr>
      <w:rFonts w:eastAsiaTheme="minorEastAsia"/>
    </w:rPr>
  </w:style>
  <w:style w:type="paragraph" w:styleId="830">
    <w:name w:val="table of figures"/>
    <w:next w:val="799"/>
    <w:uiPriority w:val="99"/>
    <w:unhideWhenUsed/>
    <w:qFormat/>
    <w:rPr>
      <w:rFonts w:eastAsiaTheme="minorEastAsia"/>
    </w:rPr>
  </w:style>
  <w:style w:type="paragraph" w:styleId="831">
    <w:name w:val="toc 2"/>
    <w:next w:val="799"/>
    <w:uiPriority w:val="39"/>
    <w:unhideWhenUsed/>
    <w:qFormat/>
    <w:pPr>
      <w:ind w:left="283"/>
      <w:spacing w:after="57"/>
    </w:pPr>
    <w:rPr>
      <w:rFonts w:eastAsiaTheme="minorEastAsia"/>
    </w:rPr>
  </w:style>
  <w:style w:type="paragraph" w:styleId="832">
    <w:name w:val="toc 9"/>
    <w:next w:val="799"/>
    <w:uiPriority w:val="39"/>
    <w:unhideWhenUsed/>
    <w:qFormat/>
    <w:pPr>
      <w:ind w:left="2268"/>
      <w:spacing w:after="57"/>
    </w:pPr>
    <w:rPr>
      <w:rFonts w:eastAsiaTheme="minorEastAsia"/>
    </w:rPr>
  </w:style>
  <w:style w:type="paragraph" w:styleId="833">
    <w:name w:val="Title"/>
    <w:link w:val="890"/>
    <w:uiPriority w:val="10"/>
    <w:qFormat/>
    <w:pPr>
      <w:contextualSpacing/>
      <w:spacing w:before="300" w:after="200"/>
    </w:pPr>
    <w:rPr>
      <w:rFonts w:eastAsiaTheme="minorEastAsia"/>
      <w:sz w:val="48"/>
      <w:szCs w:val="48"/>
    </w:rPr>
  </w:style>
  <w:style w:type="paragraph" w:styleId="834">
    <w:name w:val="annotation subject"/>
    <w:basedOn w:val="814"/>
    <w:next w:val="814"/>
    <w:link w:val="1010"/>
    <w:uiPriority w:val="99"/>
    <w:semiHidden/>
    <w:unhideWhenUsed/>
    <w:qFormat/>
    <w:rPr>
      <w:b/>
      <w:bCs/>
    </w:rPr>
  </w:style>
  <w:style w:type="paragraph" w:styleId="835">
    <w:name w:val="Body Text First Indent"/>
    <w:basedOn w:val="815"/>
    <w:qFormat/>
    <w:pPr>
      <w:ind w:firstLine="420"/>
      <w:spacing w:after="120"/>
    </w:pPr>
    <w:rPr>
      <w:sz w:val="21"/>
      <w:szCs w:val="24"/>
      <w:lang w:val="zh-CN"/>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basedOn w:val="809"/>
    <w:uiPriority w:val="22"/>
    <w:qFormat/>
    <w:rPr>
      <w:b/>
      <w:bCs/>
    </w:r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rPr>
  </w:style>
  <w:style w:type="character" w:styleId="840">
    <w:name w:val="annotation reference"/>
    <w:basedOn w:val="809"/>
    <w:unhideWhenUsed/>
    <w:qFormat/>
    <w:rPr>
      <w:sz w:val="21"/>
      <w:szCs w:val="21"/>
    </w:rPr>
  </w:style>
  <w:style w:type="character" w:styleId="841">
    <w:name w:val="footnote reference"/>
    <w:uiPriority w:val="99"/>
    <w:unhideWhenUsed/>
    <w:qFormat/>
    <w:rPr>
      <w:vertAlign w:val="superscript"/>
    </w:rPr>
  </w:style>
  <w:style w:type="character" w:styleId="842" w:customStyle="1">
    <w:name w:val="Heading 1 Char"/>
    <w:basedOn w:val="809"/>
    <w:uiPriority w:val="9"/>
    <w:qFormat/>
    <w:rPr>
      <w:rFonts w:ascii="Arial" w:hAnsi="Arial" w:eastAsia="Arial" w:cs="Arial"/>
      <w:sz w:val="40"/>
      <w:szCs w:val="40"/>
    </w:rPr>
  </w:style>
  <w:style w:type="character" w:styleId="843" w:customStyle="1">
    <w:name w:val="Heading 2 Char"/>
    <w:basedOn w:val="809"/>
    <w:uiPriority w:val="9"/>
    <w:qFormat/>
    <w:rPr>
      <w:rFonts w:ascii="Arial" w:hAnsi="Arial" w:eastAsia="Arial" w:cs="Arial"/>
      <w:sz w:val="34"/>
    </w:rPr>
  </w:style>
  <w:style w:type="character" w:styleId="844" w:customStyle="1">
    <w:name w:val="Heading 3 Char"/>
    <w:basedOn w:val="809"/>
    <w:uiPriority w:val="9"/>
    <w:qFormat/>
    <w:rPr>
      <w:rFonts w:ascii="Arial" w:hAnsi="Arial" w:eastAsia="Arial" w:cs="Arial"/>
      <w:sz w:val="30"/>
      <w:szCs w:val="30"/>
    </w:rPr>
  </w:style>
  <w:style w:type="character" w:styleId="845" w:customStyle="1">
    <w:name w:val="Heading 4 Char"/>
    <w:basedOn w:val="809"/>
    <w:uiPriority w:val="9"/>
    <w:qFormat/>
    <w:rPr>
      <w:rFonts w:ascii="Arial" w:hAnsi="Arial" w:eastAsia="Arial" w:cs="Arial"/>
      <w:b/>
      <w:bCs/>
      <w:sz w:val="26"/>
      <w:szCs w:val="26"/>
    </w:rPr>
  </w:style>
  <w:style w:type="character" w:styleId="846" w:customStyle="1">
    <w:name w:val="Heading 5 Char"/>
    <w:basedOn w:val="809"/>
    <w:uiPriority w:val="9"/>
    <w:qFormat/>
    <w:rPr>
      <w:rFonts w:ascii="Arial" w:hAnsi="Arial" w:eastAsia="Arial" w:cs="Arial"/>
      <w:b/>
      <w:bCs/>
      <w:sz w:val="24"/>
      <w:szCs w:val="24"/>
    </w:rPr>
  </w:style>
  <w:style w:type="character" w:styleId="847" w:customStyle="1">
    <w:name w:val="Heading 6 Char"/>
    <w:basedOn w:val="809"/>
    <w:uiPriority w:val="9"/>
    <w:qFormat/>
    <w:rPr>
      <w:rFonts w:ascii="Arial" w:hAnsi="Arial" w:eastAsia="Arial" w:cs="Arial"/>
      <w:b/>
      <w:bCs/>
      <w:sz w:val="22"/>
      <w:szCs w:val="22"/>
    </w:rPr>
  </w:style>
  <w:style w:type="character" w:styleId="848" w:customStyle="1">
    <w:name w:val="Heading 7 Char"/>
    <w:basedOn w:val="809"/>
    <w:uiPriority w:val="9"/>
    <w:qFormat/>
    <w:rPr>
      <w:rFonts w:ascii="Arial" w:hAnsi="Arial" w:eastAsia="Arial" w:cs="Arial"/>
      <w:b/>
      <w:bCs/>
      <w:i/>
      <w:iCs/>
      <w:sz w:val="22"/>
      <w:szCs w:val="22"/>
    </w:rPr>
  </w:style>
  <w:style w:type="character" w:styleId="849" w:customStyle="1">
    <w:name w:val="Heading 8 Char"/>
    <w:basedOn w:val="809"/>
    <w:uiPriority w:val="9"/>
    <w:qFormat/>
    <w:rPr>
      <w:rFonts w:ascii="Arial" w:hAnsi="Arial" w:eastAsia="Arial" w:cs="Arial"/>
      <w:i/>
      <w:iCs/>
      <w:sz w:val="22"/>
      <w:szCs w:val="22"/>
    </w:rPr>
  </w:style>
  <w:style w:type="character" w:styleId="850" w:customStyle="1">
    <w:name w:val="Heading 9 Char"/>
    <w:basedOn w:val="809"/>
    <w:uiPriority w:val="9"/>
    <w:qFormat/>
    <w:rPr>
      <w:rFonts w:ascii="Arial" w:hAnsi="Arial" w:eastAsia="Arial" w:cs="Arial"/>
      <w:i/>
      <w:iCs/>
      <w:sz w:val="21"/>
      <w:szCs w:val="21"/>
    </w:rPr>
  </w:style>
  <w:style w:type="character" w:styleId="851" w:customStyle="1">
    <w:name w:val="Title Char"/>
    <w:basedOn w:val="809"/>
    <w:uiPriority w:val="10"/>
    <w:qFormat/>
    <w:rPr>
      <w:sz w:val="48"/>
      <w:szCs w:val="48"/>
    </w:rPr>
  </w:style>
  <w:style w:type="character" w:styleId="852" w:customStyle="1">
    <w:name w:val="Subtitle Char"/>
    <w:basedOn w:val="809"/>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Header Char"/>
    <w:basedOn w:val="809"/>
    <w:uiPriority w:val="99"/>
    <w:qFormat/>
  </w:style>
  <w:style w:type="character" w:styleId="856" w:customStyle="1">
    <w:name w:val="Caption Char"/>
    <w:uiPriority w:val="99"/>
    <w:qFormat/>
  </w:style>
  <w:style w:type="table" w:styleId="857" w:customStyle="1">
    <w:name w:val="无格式表格 11"/>
    <w:basedOn w:val="8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81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81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81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81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8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4" w:customStyle="1">
    <w:name w:val="网格表 31"/>
    <w:basedOn w:val="8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81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网格表 6 彩色1"/>
    <w:basedOn w:val="81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网格表 7 彩色1"/>
    <w:basedOn w:val="81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清单表 1 浅色1"/>
    <w:basedOn w:val="810"/>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清单表 21"/>
    <w:basedOn w:val="81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1"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5 深色1"/>
    <w:basedOn w:val="81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清单表 6 彩色1"/>
    <w:basedOn w:val="810"/>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清单表 7 彩色1"/>
    <w:basedOn w:val="810"/>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标题1"/>
    <w:uiPriority w:val="39"/>
    <w:unhideWhenUsed/>
    <w:qFormat/>
    <w:rPr>
      <w:rFonts w:eastAsiaTheme="minorEastAsia"/>
    </w:rPr>
  </w:style>
  <w:style w:type="character" w:styleId="879" w:customStyle="1">
    <w:name w:val="标题 1 字符"/>
    <w:link w:val="800"/>
    <w:uiPriority w:val="9"/>
    <w:qFormat/>
    <w:rPr>
      <w:rFonts w:ascii="Arial" w:hAnsi="Arial" w:eastAsia="Arial" w:cs="Arial"/>
      <w:sz w:val="40"/>
      <w:szCs w:val="40"/>
    </w:rPr>
  </w:style>
  <w:style w:type="character" w:styleId="880" w:customStyle="1">
    <w:name w:val="标题 2 字符"/>
    <w:link w:val="801"/>
    <w:uiPriority w:val="9"/>
    <w:qFormat/>
    <w:rPr>
      <w:rFonts w:ascii="Arial" w:hAnsi="Arial" w:eastAsia="Arial" w:cs="Arial"/>
      <w:sz w:val="34"/>
    </w:rPr>
  </w:style>
  <w:style w:type="character" w:styleId="881" w:customStyle="1">
    <w:name w:val="标题 3 字符"/>
    <w:link w:val="802"/>
    <w:uiPriority w:val="9"/>
    <w:qFormat/>
    <w:rPr>
      <w:rFonts w:ascii="Arial" w:hAnsi="Arial" w:eastAsia="Arial" w:cs="Arial"/>
      <w:sz w:val="30"/>
      <w:szCs w:val="30"/>
    </w:rPr>
  </w:style>
  <w:style w:type="character" w:styleId="882" w:customStyle="1">
    <w:name w:val="标题 4 字符"/>
    <w:link w:val="803"/>
    <w:uiPriority w:val="9"/>
    <w:qFormat/>
    <w:rPr>
      <w:rFonts w:ascii="Arial" w:hAnsi="Arial" w:eastAsia="Arial" w:cs="Arial"/>
      <w:b/>
      <w:bCs/>
      <w:sz w:val="26"/>
      <w:szCs w:val="26"/>
    </w:rPr>
  </w:style>
  <w:style w:type="character" w:styleId="883" w:customStyle="1">
    <w:name w:val="标题 5 字符"/>
    <w:link w:val="804"/>
    <w:uiPriority w:val="9"/>
    <w:qFormat/>
    <w:rPr>
      <w:rFonts w:ascii="Arial" w:hAnsi="Arial" w:eastAsia="Arial" w:cs="Arial"/>
      <w:b/>
      <w:bCs/>
      <w:sz w:val="24"/>
      <w:szCs w:val="24"/>
    </w:rPr>
  </w:style>
  <w:style w:type="character" w:styleId="884" w:customStyle="1">
    <w:name w:val="标题 6 字符"/>
    <w:link w:val="805"/>
    <w:uiPriority w:val="9"/>
    <w:qFormat/>
    <w:rPr>
      <w:rFonts w:ascii="Arial" w:hAnsi="Arial" w:eastAsia="Arial" w:cs="Arial"/>
      <w:b/>
      <w:bCs/>
      <w:sz w:val="22"/>
      <w:szCs w:val="22"/>
    </w:rPr>
  </w:style>
  <w:style w:type="character" w:styleId="885" w:customStyle="1">
    <w:name w:val="标题 7 字符"/>
    <w:link w:val="806"/>
    <w:uiPriority w:val="9"/>
    <w:qFormat/>
    <w:rPr>
      <w:rFonts w:ascii="Arial" w:hAnsi="Arial" w:eastAsia="Arial" w:cs="Arial"/>
      <w:b/>
      <w:bCs/>
      <w:i/>
      <w:iCs/>
      <w:sz w:val="22"/>
      <w:szCs w:val="22"/>
    </w:rPr>
  </w:style>
  <w:style w:type="character" w:styleId="886" w:customStyle="1">
    <w:name w:val="标题 8 字符"/>
    <w:link w:val="807"/>
    <w:uiPriority w:val="9"/>
    <w:qFormat/>
    <w:rPr>
      <w:rFonts w:ascii="Arial" w:hAnsi="Arial" w:eastAsia="Arial" w:cs="Arial"/>
      <w:i/>
      <w:iCs/>
      <w:sz w:val="22"/>
      <w:szCs w:val="22"/>
    </w:rPr>
  </w:style>
  <w:style w:type="character" w:styleId="887" w:customStyle="1">
    <w:name w:val="标题 9 字符"/>
    <w:link w:val="808"/>
    <w:uiPriority w:val="9"/>
    <w:qFormat/>
    <w:rPr>
      <w:rFonts w:ascii="Arial" w:hAnsi="Arial" w:eastAsia="Arial" w:cs="Arial"/>
      <w:i/>
      <w:iCs/>
      <w:sz w:val="21"/>
      <w:szCs w:val="21"/>
    </w:rPr>
  </w:style>
  <w:style w:type="paragraph" w:styleId="888">
    <w:name w:val="List Paragraph"/>
    <w:uiPriority w:val="34"/>
    <w:qFormat/>
    <w:pPr>
      <w:contextualSpacing/>
      <w:ind w:left="720"/>
    </w:pPr>
    <w:rPr>
      <w:rFonts w:eastAsiaTheme="minorEastAsia"/>
    </w:rPr>
  </w:style>
  <w:style w:type="paragraph" w:styleId="889">
    <w:name w:val="No Spacing"/>
    <w:uiPriority w:val="1"/>
    <w:qFormat/>
    <w:rPr>
      <w:rFonts w:eastAsiaTheme="minorEastAsia"/>
    </w:rPr>
  </w:style>
  <w:style w:type="character" w:styleId="890" w:customStyle="1">
    <w:name w:val="标题 字符"/>
    <w:link w:val="833"/>
    <w:uiPriority w:val="10"/>
    <w:qFormat/>
    <w:rPr>
      <w:sz w:val="48"/>
      <w:szCs w:val="48"/>
    </w:rPr>
  </w:style>
  <w:style w:type="character" w:styleId="891" w:customStyle="1">
    <w:name w:val="副标题 字符"/>
    <w:link w:val="827"/>
    <w:uiPriority w:val="11"/>
    <w:qFormat/>
    <w:rPr>
      <w:sz w:val="24"/>
      <w:szCs w:val="24"/>
    </w:rPr>
  </w:style>
  <w:style w:type="paragraph" w:styleId="892">
    <w:name w:val="Quote"/>
    <w:link w:val="893"/>
    <w:uiPriority w:val="29"/>
    <w:qFormat/>
    <w:pPr>
      <w:ind w:left="720" w:right="720"/>
    </w:pPr>
    <w:rPr>
      <w:rFonts w:eastAsiaTheme="minorEastAsia"/>
      <w:i/>
    </w:rPr>
  </w:style>
  <w:style w:type="character" w:styleId="893" w:customStyle="1">
    <w:name w:val="引用 字符"/>
    <w:link w:val="892"/>
    <w:uiPriority w:val="29"/>
    <w:qFormat/>
    <w:rPr>
      <w:i/>
    </w:rPr>
  </w:style>
  <w:style w:type="paragraph" w:styleId="894">
    <w:name w:val="Intense Quote"/>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Theme="minorEastAsia"/>
      <w:i/>
    </w:rPr>
  </w:style>
  <w:style w:type="character" w:styleId="895" w:customStyle="1">
    <w:name w:val="明显引用 字符"/>
    <w:link w:val="894"/>
    <w:uiPriority w:val="30"/>
    <w:qFormat/>
    <w:rPr>
      <w:i/>
    </w:rPr>
  </w:style>
  <w:style w:type="character" w:styleId="896" w:customStyle="1">
    <w:name w:val="页眉 字符"/>
    <w:link w:val="824"/>
    <w:uiPriority w:val="99"/>
    <w:qFormat/>
  </w:style>
  <w:style w:type="character" w:styleId="897" w:customStyle="1">
    <w:name w:val="Footer Char"/>
    <w:uiPriority w:val="99"/>
    <w:qFormat/>
  </w:style>
  <w:style w:type="character" w:styleId="898" w:customStyle="1">
    <w:name w:val="页脚 字符"/>
    <w:link w:val="823"/>
    <w:uiPriority w:val="99"/>
    <w:qFormat/>
  </w:style>
  <w:style w:type="table" w:styleId="89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脚注文本 字符"/>
    <w:link w:val="828"/>
    <w:uiPriority w:val="99"/>
    <w:qFormat/>
    <w:rPr>
      <w:sz w:val="18"/>
    </w:rPr>
  </w:style>
  <w:style w:type="character" w:styleId="1006" w:customStyle="1">
    <w:name w:val="尾注文本 字符"/>
    <w:link w:val="821"/>
    <w:uiPriority w:val="99"/>
    <w:qFormat/>
    <w:rPr>
      <w:sz w:val="20"/>
    </w:rPr>
  </w:style>
  <w:style w:type="paragraph" w:styleId="1007" w:customStyle="1">
    <w:name w:val="TOC 标题11"/>
    <w:uiPriority w:val="39"/>
    <w:unhideWhenUsed/>
    <w:qFormat/>
    <w:rPr>
      <w:rFonts w:eastAsiaTheme="minorEastAsia"/>
    </w:rPr>
  </w:style>
  <w:style w:type="paragraph" w:styleId="1008" w:customStyle="1">
    <w:name w:val="修订1"/>
    <w:hidden/>
    <w:uiPriority w:val="99"/>
    <w:semiHidden/>
    <w:qFormat/>
    <w:rPr>
      <w:rFonts w:eastAsiaTheme="minorEastAsia"/>
    </w:rPr>
  </w:style>
  <w:style w:type="character" w:styleId="1009" w:customStyle="1">
    <w:name w:val="批注文字 字符"/>
    <w:basedOn w:val="809"/>
    <w:link w:val="814"/>
    <w:qFormat/>
  </w:style>
  <w:style w:type="character" w:styleId="1010" w:customStyle="1">
    <w:name w:val="批注主题 字符"/>
    <w:basedOn w:val="1009"/>
    <w:link w:val="834"/>
    <w:uiPriority w:val="99"/>
    <w:semiHidden/>
    <w:qFormat/>
    <w:rPr>
      <w:b/>
      <w:bCs/>
    </w:rPr>
  </w:style>
  <w:style w:type="character" w:styleId="1011" w:customStyle="1">
    <w:name w:val="批注框文本 字符"/>
    <w:basedOn w:val="809"/>
    <w:link w:val="822"/>
    <w:uiPriority w:val="99"/>
    <w:semiHidden/>
    <w:qFormat/>
    <w:rPr>
      <w:sz w:val="18"/>
      <w:szCs w:val="18"/>
    </w:rPr>
  </w:style>
  <w:style w:type="paragraph" w:styleId="1012" w:customStyle="1">
    <w:name w:val="修订2"/>
    <w:hidden/>
    <w:uiPriority w:val="99"/>
    <w:unhideWhenUsed/>
    <w:qFormat/>
    <w:rPr>
      <w:rFonts w:eastAsiaTheme="minorEastAsia"/>
    </w:rPr>
  </w:style>
  <w:style w:type="paragraph" w:styleId="1013" w:customStyle="1">
    <w:name w:val="修订3"/>
    <w:hidden/>
    <w:uiPriority w:val="99"/>
    <w:semiHidden/>
    <w:qFormat/>
    <w:rPr>
      <w:rFonts w:eastAsiaTheme="minorEastAsia"/>
    </w:rPr>
  </w:style>
  <w:style w:type="paragraph" w:styleId="1014" w:customStyle="1">
    <w:name w:val="普通正文"/>
    <w:basedOn w:val="799"/>
    <w:qFormat/>
    <w:pPr>
      <w:ind w:firstLine="480"/>
      <w:spacing w:before="120" w:after="120" w:line="360" w:lineRule="auto"/>
    </w:pPr>
    <w:rPr>
      <w:rFonts w:ascii="Arial" w:hAnsi="Arial"/>
      <w:szCs w:val="24"/>
    </w:rPr>
  </w:style>
  <w:style w:type="paragraph" w:styleId="1015" w:customStyle="1">
    <w:name w:val="_Style 226"/>
    <w:basedOn w:val="800"/>
    <w:next w:val="799"/>
    <w:qFormat/>
    <w:pPr>
      <w:spacing w:line="276" w:lineRule="auto"/>
      <w:outlineLvl w:val="9"/>
    </w:pPr>
    <w:rPr>
      <w:rFonts w:ascii="Cambria" w:hAnsi="Cambria" w:eastAsia="宋体"/>
      <w:bCs/>
      <w:color w:val="365f91"/>
    </w:rPr>
  </w:style>
  <w:style w:type="paragraph" w:styleId="1016" w:customStyle="1">
    <w:name w:val="修订4"/>
    <w:hidden/>
    <w:uiPriority w:val="99"/>
    <w:semiHidden/>
    <w:qFormat/>
    <w:rPr>
      <w:rFonts w:eastAsiaTheme="minorEastAsia"/>
    </w:rPr>
  </w:style>
  <w:style w:type="paragraph" w:styleId="1017" w:customStyle="1">
    <w:name w:val="修订5"/>
    <w:hidden/>
    <w:uiPriority w:val="99"/>
    <w:unhideWhenUsed/>
    <w:qFormat/>
    <w:rPr>
      <w:rFonts w:eastAsiaTheme="minorEastAsia"/>
    </w:rPr>
  </w:style>
  <w:style w:type="paragraph" w:styleId="1018" w:customStyle="1">
    <w:name w:val="修订6"/>
    <w:hidden/>
    <w:uiPriority w:val="99"/>
    <w:semiHidden/>
    <w:qFormat/>
    <w:rPr>
      <w:rFonts w:eastAsiaTheme="minorEastAsia"/>
    </w:rPr>
  </w:style>
  <w:style w:type="paragraph" w:styleId="1019" w:customStyle="1">
    <w:name w:val="修订7"/>
    <w:hidden/>
    <w:uiPriority w:val="99"/>
    <w:semiHidden/>
    <w:qFormat/>
    <w:rPr>
      <w:rFonts w:eastAsiaTheme="minorEastAsia"/>
    </w:rPr>
  </w:style>
  <w:style w:type="paragraph" w:styleId="1020" w:customStyle="1">
    <w:name w:val="修订8"/>
    <w:hidden/>
    <w:uiPriority w:val="99"/>
    <w:semiHidden/>
    <w:qFormat/>
    <w:rPr>
      <w:rFonts w:eastAsiaTheme="minorEastAsia"/>
    </w:rPr>
  </w:style>
  <w:style w:type="paragraph" w:styleId="1021" w:customStyle="1">
    <w:name w:val="修订9"/>
    <w:hidden/>
    <w:uiPriority w:val="99"/>
    <w:semiHidden/>
    <w:rPr>
      <w:rFonts w:eastAsiaTheme="minorEastAsia"/>
    </w:rPr>
  </w:style>
  <w:style w:type="character" w:styleId="1022" w:customStyle="1">
    <w:name w:val="正文文本缩进 字符"/>
    <w:basedOn w:val="809"/>
    <w:link w:val="816"/>
    <w:uiPriority w:val="99"/>
    <w:semiHidden/>
    <w:rPr>
      <w:rFonts w:asciiTheme="minorHAnsi" w:hAnsiTheme="minorHAnsi" w:eastAsiaTheme="minorEastAsia" w:cstheme="minorBidi"/>
      <w:sz w:val="21"/>
      <w:szCs w:val="22"/>
    </w:rPr>
  </w:style>
  <w:style w:type="character" w:styleId="1023" w:customStyle="1">
    <w:name w:val="纯文本 字符"/>
    <w:basedOn w:val="809"/>
    <w:link w:val="819"/>
    <w:rPr>
      <w:rFonts w:ascii="宋体" w:hAnsi="Courier New" w:cs="Courier New"/>
      <w:sz w:val="21"/>
      <w:szCs w:val="21"/>
    </w:rPr>
  </w:style>
  <w:style w:type="paragraph" w:styleId="1024" w:customStyle="1">
    <w:name w:val="AONormal"/>
    <w:qFormat/>
    <w:pPr>
      <w:ind w:firstLine="440"/>
      <w:spacing w:line="400" w:lineRule="exact"/>
    </w:pPr>
    <w:rPr>
      <w:rFonts w:ascii="华文楷体" w:hAnsi="华文楷体" w:eastAsia="华文楷体" w:cs="华文楷体"/>
      <w:sz w:val="22"/>
      <w:szCs w:val="21"/>
    </w:rPr>
  </w:style>
  <w:style w:type="paragraph" w:styleId="1025" w:customStyle="1">
    <w:name w:val="列出段落1"/>
    <w:basedOn w:val="799"/>
    <w:qFormat/>
    <w:pPr>
      <w:contextualSpacing/>
      <w:ind w:left="720"/>
    </w:pPr>
    <w:rPr>
      <w:rFonts w:ascii="Calibri" w:hAnsi="Calibri" w:cstheme="minorBidi"/>
      <w:sz w:val="24"/>
      <w:szCs w:val="24"/>
      <w:lang w:eastAsia="en-US" w:bidi="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21DC9C-97FB-4F44-9991-9061F4522DA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Methend Wu</dc:creator>
  <cp:lastModifiedBy>吴岢非</cp:lastModifiedBy>
  <cp:revision>6</cp:revision>
  <dcterms:created xsi:type="dcterms:W3CDTF">2025-11-11T04:49:00Z</dcterms:created>
  <dcterms:modified xsi:type="dcterms:W3CDTF">2025-11-13T06:30:22Z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0F245847FB184D9296446039C75D6CA4_13</vt:lpwstr>
  </property>
  <property fmtid="{D5CDD505-2E9C-101B-9397-08002B2CF9AE}" pid="4" name="KSOTemplateDocerSaveRecord">
    <vt:lpwstr>eyJoZGlkIjoiODBlZTZhZTVlMmQ0ZWFkNmNkNzU4N2FmODE3ZTRjN2IiLCJ1c2VySWQiOiIyNTA0NDAyNzQifQ==</vt:lpwstr>
  </property>
</Properties>
</file>